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XXXVI/340/26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31 sierpnia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stanowiska Rady Miejskiej dotyczącego skargi na działalność Dyrektora Miejskiego Ośrodka Pomocy Rodzinie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229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239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Kodeksu postępowania administracyjnego (Dz.U.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poz.1691)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Uznaje się za bezzasadną skargę na działalność Dyrektora Miejskiego Ośrodka Pomocy Rodzinie.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Przewodniczącemu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na posiedzeniach w dniach: 15 czerwca 2026 r., 20 lipca 2026 r. i 24 sierpnia 2026r. rozpatrywała skargę złożoną przez Panią A.F. i Pana R.F., którą komisja zakwalifikowała jako skargę na działalność Dyrektora Miejskiego Ośrodka Pomocy Rodzinie w Bytomiu.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 zapoznaniu się z dokumentacją skargi oraz otrzymanymi wyjaśnieniami, Komisja Skarg, Wniosków i Petycji Rady Miejskiej w Bytomiu stwierdza, że skargę należy uznać za bezzasadną.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Nie znajduje potwierdzenia zarzut dotyczący pozbawienia strony czynnego udziału w postępowaniu. W toku prowadzonej sprawy kierowana do strony korespondencja zawierała pouczenia wynikające z przepisów prawa, w tym odnoszące się do uprawnień strony określonych w art. 10 Kodeksu postępowania administracyjnego. Ponadto, jak wskazało Samorządowe Kolegium Odwoławcze w Katowicach w decyzji z dnia 9 kwietnia 2026 r., utrzymującej w mocy rozstrzygnięcie organu pierwszej instancji, pismem z dnia 23 grudnia 2025 r. strona została poinformowana o możliwości zapoznania się z materiałem dowodowym zgromadzonym w sprawie oraz wypowiedzenia się co do zebranych dowodów i zgłoszonych żądań przed wydaniem decyzji. Przedmiotowe pismo zostało odebrane osobiście przez Pana R.F. w dniu 14 stycznia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Odnosząc się natomiast do kwestii dotyczącej zawiadomienia strony o przekazaniu odwołania do Samorządowego Kolegium Odwoławczego w Katowicach, należy wskazać, że w toku prowadzonego postępowania nie została dopełniona czynność informacyjna przewidziana w art. 131 kodeksu postępowania administracyjnego dla tego etapu postępowania odwoławczego. Okoliczność ta miała charakter incydentalny i wynikała z przeoczenia o charakterze organizacyjnym, a nie z celowego działania organu. Jednocześnie analiza przebiegu postępowania oraz treści rozstrzygnięcia organu odwoławczego nie wskazuje, aby powyższe uchybienie miało wpływ na zakres uprawnień procesowych strony lub na merytoryczny wynik sprawy.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Mając na uwadze powyższe, zarzuty dotyczące niezapewnienia stronie czynnego udziału w postępowaniu należy uznać za nieuzasadnione. Jednocześnie stwierdzone uchybienie o charakterze proceduralnym, związane z niedokonaniem odrębnego zawiadomienia o przekazaniu odwołania organowi odwoławczemu, pozostawało bez wpływu na prawidłowość i zgodność z prawem wydanego rozstrzygnięcia.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Rada Miejska w ślad za ustaleniami Komisji Skarg, Wniosków i Petycji uznaje skargę Pani A.F. i Pana R.F. na działalność Dyrektora Miejskiego Ośrodka Pomocy Rodzinie za bezzasadną.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B539702F-01FA-423B-9B59-8DC9DF053580.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B539702F-01FA-423B-9B59-8DC9DF053580.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XXXVI/340/26 z dnia 31 sierpnia 2026 r.</dc:title>
  <dc:subject>w sprawie stanowiska Rady Miejskiej dotyczącego skargi na działalność Dyrektora^Miejskiego Ośrodka Pomocy Rodzinie</dc:subject>
  <dc:creator>masocha</dc:creator>
  <cp:lastModifiedBy>masocha</cp:lastModifiedBy>
  <cp:revision>1</cp:revision>
  <dcterms:created xsi:type="dcterms:W3CDTF">2026-09-01T14:42:51Z</dcterms:created>
  <dcterms:modified xsi:type="dcterms:W3CDTF">2026-09-01T14:42:51Z</dcterms:modified>
  <cp:category>Akt prawny</cp:category>
</cp:coreProperties>
</file>