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4.0 -->
  <w:body>
    <w:p w:rsidR="00A77B3E">
      <w:pPr>
        <w:spacing w:line="276" w:lineRule="auto"/>
        <w:ind w:left="0"/>
        <w:jc w:val="center"/>
        <w:rPr>
          <w:rFonts w:ascii="Arial" w:eastAsia="Arial" w:hAnsi="Arial" w:cs="Arial"/>
          <w:b/>
          <w:caps/>
          <w:sz w:val="24"/>
        </w:rPr>
      </w:pPr>
      <w:r>
        <w:rPr>
          <w:rFonts w:ascii="Arial" w:eastAsia="Arial" w:hAnsi="Arial" w:cs="Arial"/>
          <w:b/>
          <w:caps/>
          <w:sz w:val="24"/>
        </w:rPr>
        <w:t>Uchwała</w:t>
      </w:r>
      <w:r>
        <w:rPr>
          <w:rFonts w:ascii="Arial" w:eastAsia="Arial" w:hAnsi="Arial" w:cs="Arial"/>
          <w:b/>
          <w:caps/>
          <w:sz w:val="24"/>
        </w:rPr>
        <w:t xml:space="preserve"> nr XXXVI/331/26</w:t>
      </w:r>
      <w:r>
        <w:rPr>
          <w:rFonts w:ascii="Arial" w:eastAsia="Arial" w:hAnsi="Arial" w:cs="Arial"/>
          <w:b/>
          <w:caps/>
          <w:sz w:val="24"/>
        </w:rPr>
        <w:br/>
      </w:r>
      <w:r>
        <w:rPr>
          <w:rFonts w:ascii="Arial" w:eastAsia="Arial" w:hAnsi="Arial" w:cs="Arial"/>
          <w:b/>
          <w:caps/>
          <w:sz w:val="24"/>
        </w:rPr>
        <w:t>Rady Miejskiej w Bytomiu</w:t>
      </w:r>
    </w:p>
    <w:p w:rsidR="00A77B3E">
      <w:pPr>
        <w:spacing w:before="280" w:after="280" w:line="276" w:lineRule="auto"/>
        <w:ind w:left="0"/>
        <w:jc w:val="center"/>
        <w:rPr>
          <w:rFonts w:ascii="Arial" w:eastAsia="Arial" w:hAnsi="Arial" w:cs="Arial"/>
          <w:b/>
          <w:caps/>
          <w:sz w:val="24"/>
        </w:rPr>
      </w:pPr>
      <w:r>
        <w:rPr>
          <w:rFonts w:ascii="Arial" w:eastAsia="Arial" w:hAnsi="Arial" w:cs="Arial"/>
          <w:b w:val="0"/>
          <w:caps w:val="0"/>
          <w:sz w:val="24"/>
        </w:rPr>
        <w:t>z dnia 31 sierpnia 2026 r.</w:t>
      </w:r>
    </w:p>
    <w:p w:rsidR="00A77B3E">
      <w:pPr>
        <w:keepNext/>
        <w:spacing w:before="0" w:after="480" w:line="276" w:lineRule="auto"/>
        <w:ind w:left="0" w:right="0" w:firstLine="0"/>
        <w:jc w:val="center"/>
        <w:rPr>
          <w:rFonts w:ascii="Arial" w:eastAsia="Arial" w:hAnsi="Arial" w:cs="Arial"/>
          <w:b w:val="0"/>
          <w:caps w:val="0"/>
          <w:strike w:val="0"/>
          <w:color w:val="auto"/>
          <w:sz w:val="24"/>
          <w:u w:val="none"/>
        </w:rPr>
      </w:pPr>
      <w:r>
        <w:rPr>
          <w:rFonts w:ascii="Arial" w:eastAsia="Arial" w:hAnsi="Arial" w:cs="Arial"/>
          <w:b/>
          <w:caps w:val="0"/>
          <w:sz w:val="24"/>
        </w:rPr>
        <w:t>zmieniająca uchwałę budżetową miasta Bytomia na 2026 rok</w:t>
      </w:r>
    </w:p>
    <w:p w:rsidR="00A77B3E">
      <w:pPr>
        <w:keepNext w:val="0"/>
        <w:keepLines/>
        <w:spacing w:before="120" w:after="120" w:line="276" w:lineRule="auto"/>
        <w:ind w:left="0" w:right="0" w:firstLine="227"/>
        <w:jc w:val="left"/>
        <w:rPr>
          <w:rFonts w:ascii="Arial" w:eastAsia="Arial" w:hAnsi="Arial" w:cs="Arial"/>
          <w:b w:val="0"/>
          <w:caps w:val="0"/>
          <w:strike w:val="0"/>
          <w:color w:val="auto"/>
          <w:sz w:val="24"/>
          <w:u w:val="none"/>
        </w:rPr>
      </w:pPr>
      <w:r>
        <w:rPr>
          <w:rFonts w:ascii="Arial" w:eastAsia="Arial" w:hAnsi="Arial" w:cs="Arial"/>
          <w:b w:val="0"/>
          <w:caps w:val="0"/>
          <w:strike w:val="0"/>
          <w:color w:val="auto"/>
          <w:sz w:val="24"/>
          <w:u w:val="none"/>
        </w:rPr>
        <w:t>Na podstawie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4</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marca 1990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samorządzie gminnym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2026</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662,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późn.</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zm.),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92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czerwca 1998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samorządzie powiatowym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1684,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późn. zm.),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212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27</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sierpnia 2009</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finansach publicznych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1483,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późn. zm.) uchwala się, co następuje:</w:t>
      </w:r>
    </w:p>
    <w:p w:rsidR="00A77B3E">
      <w:pPr>
        <w:keepNext w:val="0"/>
        <w:keepLines/>
        <w:spacing w:before="120" w:after="120" w:line="276"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1. </w:t>
      </w:r>
      <w:r>
        <w:rPr>
          <w:rFonts w:ascii="Arial" w:eastAsia="Arial" w:hAnsi="Arial" w:cs="Arial"/>
          <w:b w:val="0"/>
          <w:caps w:val="0"/>
          <w:strike w:val="0"/>
          <w:color w:val="auto"/>
          <w:sz w:val="24"/>
          <w:u w:val="none"/>
        </w:rPr>
        <w:t>W budżecie miasta Bytomia na 2026</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rok dokonuje się zmian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następujący sposób: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6182"/>
        <w:gridCol w:w="510"/>
        <w:gridCol w:w="1740"/>
        <w:gridCol w:w="1650"/>
      </w:tblGrid>
      <w:tr>
        <w:tblPrEx>
          <w:tblW w:w="5000" w:type="pct"/>
          <w:tblLayout w:type="fixed"/>
        </w:tblPrEx>
        <w:trPr>
          <w:trHeight w:val="396"/>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rPr>
                <w:u w:val="single"/>
              </w:rPr>
              <w:t>po stronie przychodów</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r>
              <w:rPr>
                <w:u w:val="single"/>
              </w:rPr>
              <w:t>zmniejszenie</w:t>
            </w:r>
          </w:p>
        </w:tc>
        <w:tc>
          <w:tcPr>
            <w:tcW w:w="165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r>
              <w:rPr>
                <w:u w:val="single"/>
              </w:rPr>
              <w:t>zwiększenie</w:t>
            </w:r>
          </w:p>
        </w:tc>
      </w:tr>
      <w:tr>
        <w:tblPrEx>
          <w:tblW w:w="5000" w:type="pct"/>
          <w:tblLayout w:type="fixed"/>
        </w:tblPrEx>
        <w:trPr>
          <w:trHeight w:val="1474"/>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przychody jednostek samorządu terytorialnego z</w:t>
            </w:r>
            <w:r>
              <w:t> </w:t>
            </w:r>
            <w:r>
              <w:t>wynikających z</w:t>
            </w:r>
            <w:r>
              <w:t> </w:t>
            </w:r>
            <w:r>
              <w:t>rozliczenia środków określonych w</w:t>
            </w:r>
            <w:r>
              <w:t> </w:t>
            </w:r>
            <w:r>
              <w:t>art.</w:t>
            </w:r>
            <w:r>
              <w:t> </w:t>
            </w:r>
            <w:r>
              <w:t>5 ust.</w:t>
            </w:r>
            <w:r>
              <w:t> </w:t>
            </w:r>
            <w:r>
              <w:t>1 pkt</w:t>
            </w:r>
            <w:r>
              <w:t> </w:t>
            </w:r>
            <w:r>
              <w:t>2 ustawy i</w:t>
            </w:r>
            <w:r>
              <w:t> </w:t>
            </w:r>
            <w:r>
              <w:t>dotacji na realizację programu, projektu lub zadania finansowanego z</w:t>
            </w:r>
            <w:r>
              <w:t> </w:t>
            </w:r>
            <w:r>
              <w:t>udziałem tych środków</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304 639</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16 671</w:t>
            </w:r>
          </w:p>
        </w:tc>
      </w:tr>
      <w:tr>
        <w:tblPrEx>
          <w:tblW w:w="5000" w:type="pct"/>
          <w:tblLayout w:type="fixed"/>
        </w:tblPrEx>
        <w:trPr>
          <w:trHeight w:val="1190"/>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przychody jednostek samorządu terytorialnego z</w:t>
            </w:r>
            <w:r>
              <w:t> </w:t>
            </w:r>
            <w:r>
              <w:t>tytułu zaciągniętych pożyczek i</w:t>
            </w:r>
            <w:r>
              <w:t> </w:t>
            </w:r>
            <w:r>
              <w:t>kredytów oraz wyemitowanych papierów wartościowych na spłatę wcześniej zaciągniętych zobowiązań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183 325 582</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rPr>
                <w:u w:val="single"/>
              </w:rPr>
              <w:t>po stronie dochodów</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r>
              <w:rPr>
                <w:u w:val="single"/>
              </w:rPr>
              <w:t>zmniejszenie</w:t>
            </w:r>
          </w:p>
        </w:tc>
        <w:tc>
          <w:tcPr>
            <w:tcW w:w="165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r>
              <w:rPr>
                <w:u w:val="single"/>
              </w:rPr>
              <w:t>zwiększenie</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rPr>
                <w:u w:val="single"/>
              </w:rPr>
              <w:t>w zakresie zadań własnych gminy</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600 – Transport i łączność</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16 800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dochody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16 800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wpływy z najmu i dzierżawy składników majątkowych</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16 800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758 – Różne rozliczenia</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2 497 945</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dochody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2 497 945</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środki na uzupełnienie dochodów miast na prawach powiatu</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2 497 945</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900 – Gospodarka komunalna i</w:t>
            </w:r>
            <w:r>
              <w:t> </w:t>
            </w:r>
            <w:r>
              <w:t>ochrona środowiska</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5 900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dochody majątkowe: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5 900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dochody ze sprzedaży składników majątkowych</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5 900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rPr>
                <w:u w:val="single"/>
              </w:rPr>
              <w:t>w zakresie zadań własnych powiatu</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600 – Transport i łączność</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50 676</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dochody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50 676</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wpływy z różnych dochodów</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50 676</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801 – Oświata i wychowanie</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16 671</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dochody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16 671</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środki z Funduszy Europejskich dla Śląskiego na</w:t>
            </w:r>
            <w:r>
              <w:t> </w:t>
            </w:r>
            <w:r>
              <w:t>finansowanie zadań, o</w:t>
            </w:r>
            <w:r>
              <w:t> </w:t>
            </w:r>
            <w:r>
              <w:t>których mowa w</w:t>
            </w:r>
            <w:r>
              <w:t> </w:t>
            </w:r>
            <w:r>
              <w:t>art.</w:t>
            </w:r>
            <w:r>
              <w:t> </w:t>
            </w:r>
            <w:r>
              <w:t>5 ust.</w:t>
            </w:r>
            <w:r>
              <w:t> </w:t>
            </w:r>
            <w:r>
              <w:t>3 pkt</w:t>
            </w:r>
            <w:r>
              <w:t> </w:t>
            </w:r>
            <w:r>
              <w:t>5 lit.</w:t>
            </w:r>
            <w:r>
              <w:t> </w:t>
            </w:r>
            <w:r>
              <w:t>a</w:t>
            </w:r>
            <w:r>
              <w:t> </w:t>
            </w:r>
            <w:r>
              <w:t>i</w:t>
            </w:r>
            <w:r>
              <w:t> </w:t>
            </w:r>
            <w:r>
              <w:t>b uofp</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dotacje celowe z budżetu państwa na</w:t>
            </w:r>
            <w:r>
              <w:t> </w:t>
            </w:r>
            <w:r>
              <w:t>współfinansowanie projektów unijnych</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10</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środki pozyskane z innych źródeł na finansowanie zadań z</w:t>
            </w:r>
            <w:r>
              <w:t> </w:t>
            </w:r>
            <w:r>
              <w:t>udziałem środków, o</w:t>
            </w:r>
            <w:r>
              <w:t> </w:t>
            </w:r>
            <w:r>
              <w:t>których mowa w</w:t>
            </w:r>
            <w:r>
              <w:t> </w:t>
            </w:r>
            <w:r>
              <w:t>art.</w:t>
            </w:r>
            <w:r>
              <w:t> </w:t>
            </w:r>
            <w:r>
              <w:t>5 ust.</w:t>
            </w:r>
            <w:r>
              <w:t> </w:t>
            </w:r>
            <w:r>
              <w:t>1 pkt</w:t>
            </w:r>
            <w:r>
              <w:t> </w:t>
            </w:r>
            <w:r>
              <w:t>2</w:t>
            </w:r>
            <w:r>
              <w:t> </w:t>
            </w:r>
            <w:r>
              <w:t>i</w:t>
            </w:r>
            <w:r>
              <w:t> </w:t>
            </w:r>
            <w:r>
              <w:t>3 uofp</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16 661</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rPr>
                <w:u w:val="single"/>
              </w:rPr>
              <w:t>po stronie wydatków</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r>
              <w:rPr>
                <w:u w:val="single"/>
              </w:rPr>
              <w:t>zmniejszenie</w:t>
            </w:r>
          </w:p>
        </w:tc>
        <w:tc>
          <w:tcPr>
            <w:tcW w:w="165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r>
              <w:rPr>
                <w:u w:val="single"/>
              </w:rPr>
              <w:t>zwiększenie</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rPr>
                <w:u w:val="single"/>
              </w:rPr>
              <w:t>w zakresie zadań własnych gminy</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600 – Transport i łączność</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40 111 237</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1 257 941</w:t>
            </w:r>
          </w:p>
        </w:tc>
      </w:tr>
      <w:tr>
        <w:tblPrEx>
          <w:tblW w:w="5000" w:type="pct"/>
          <w:tblLayout w:type="fixed"/>
        </w:tblPrEx>
        <w:trPr>
          <w:trHeight w:val="227"/>
        </w:trPr>
        <w:tc>
          <w:tcPr>
            <w:tcW w:w="618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60004 – Lokalny transport zbiorowy</w:t>
            </w:r>
          </w:p>
        </w:tc>
        <w:tc>
          <w:tcPr>
            <w:tcW w:w="51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40 111 237</w:t>
            </w:r>
          </w:p>
        </w:tc>
        <w:tc>
          <w:tcPr>
            <w:tcW w:w="165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1) wydatki majątkowe: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13 038</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inwestycje i zakupy inwestycyjne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13 038</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2) wydatki bieżące: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40 098 199</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dotacje na zadania bieżące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40 098 199</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60016 – Drogi publiczne gminne</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374 941</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1) wydatki majątkowe: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87 941</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inwestycje i zakupy inwestycyjne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87 941</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2) wydatki bieżące: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287 000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287 000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287 000</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60017 – Drogi wewnętrzne</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20 000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20 000</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60020 – Funkcjonowanie przystanków komunikacyjnych</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452 000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452 000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452 000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452 000</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60021 – Funkcjonowanie dworców i węzłów przesiadkowych</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411 000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411 000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411 000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411 000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700 – Gospodarka mieszkaniowa</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3 885 000</w:t>
            </w:r>
          </w:p>
        </w:tc>
      </w:tr>
      <w:tr>
        <w:tblPrEx>
          <w:tblW w:w="5000" w:type="pct"/>
          <w:tblLayout w:type="fixed"/>
        </w:tblPrEx>
        <w:trPr>
          <w:trHeight w:val="227"/>
        </w:trPr>
        <w:tc>
          <w:tcPr>
            <w:tcW w:w="618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70007 – Gospodarowanie mieszkaniowym zasobem gminy</w:t>
            </w:r>
          </w:p>
        </w:tc>
        <w:tc>
          <w:tcPr>
            <w:tcW w:w="51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3 885 000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1) wydatki majątkowe: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1 100 000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inwestycje i zakupy inwestycyjne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1 100 000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2) wydatki bieżące: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2 785 000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2 785 000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2 785 000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757 – Obsługa długu publicznego</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900 000</w:t>
            </w:r>
          </w:p>
        </w:tc>
      </w:tr>
      <w:tr>
        <w:tblPrEx>
          <w:tblW w:w="5000" w:type="pct"/>
          <w:tblLayout w:type="fixed"/>
        </w:tblPrEx>
        <w:trPr>
          <w:trHeight w:val="227"/>
        </w:trPr>
        <w:tc>
          <w:tcPr>
            <w:tcW w:w="618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75702 – Obsługa papierów wartościowych, kredytów i</w:t>
            </w:r>
            <w:r>
              <w:t> </w:t>
            </w:r>
            <w:r>
              <w:t>pożyczek oraz innych zobowiązań jednostek samorządu terytorialnego zaliczanych do tytułu dłużnego – kredyty i pożyczki</w:t>
            </w:r>
          </w:p>
        </w:tc>
        <w:tc>
          <w:tcPr>
            <w:tcW w:w="51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obsługa długu jednostki samorządu terytorialnego</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801 – Oświata i wychowanie</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12 172 727</w:t>
            </w:r>
          </w:p>
        </w:tc>
      </w:tr>
      <w:tr>
        <w:tblPrEx>
          <w:tblW w:w="5000" w:type="pct"/>
          <w:tblLayout w:type="fixed"/>
        </w:tblPrEx>
        <w:trPr>
          <w:trHeight w:val="227"/>
        </w:trPr>
        <w:tc>
          <w:tcPr>
            <w:tcW w:w="618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80195 – Pozostała działalność</w:t>
            </w:r>
          </w:p>
        </w:tc>
        <w:tc>
          <w:tcPr>
            <w:tcW w:w="51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12 172 727</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12 172 727</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12 172 727</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wynagrodzenia i składki od nich naliczane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12 172 727</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900 – Gospodarka komunalna i ochrona środowiska</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9 094 197</w:t>
            </w:r>
          </w:p>
        </w:tc>
      </w:tr>
      <w:tr>
        <w:tblPrEx>
          <w:tblW w:w="5000" w:type="pct"/>
          <w:tblLayout w:type="fixed"/>
        </w:tblPrEx>
        <w:trPr>
          <w:trHeight w:val="227"/>
        </w:trPr>
        <w:tc>
          <w:tcPr>
            <w:tcW w:w="618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90001 – Gospodarka ściekowa i ochrona wód</w:t>
            </w:r>
          </w:p>
        </w:tc>
        <w:tc>
          <w:tcPr>
            <w:tcW w:w="51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633 660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1) wydatki majątkowe: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587 300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zakup i objęcie akcji i udziałów</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inwestycje i zakupy inwestycyjne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87 300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2) wydatki bieżące: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46 360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46 360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46 360</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90002 – Gospodarka odpadami komunalnymi</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3 300 000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3 300 000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3 300 000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3 300 000</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90003 – Oczyszczanie miast i wsi</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1 867 000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1 867 000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1 867 000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1 867 000</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90004 – Utrzymanie zieleni w miastach i</w:t>
            </w:r>
            <w:r>
              <w:t> </w:t>
            </w:r>
            <w:r>
              <w:t>gminach</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2 325 000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2 325 000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2 325 000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2 325 000</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90005 – Ochrona powietrza atmosferycznego i</w:t>
            </w:r>
            <w:r>
              <w:t> </w:t>
            </w:r>
            <w:r>
              <w:t>klimatu</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90 648</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90 648</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90 648</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90 648</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90015 – Oświetlenie ulic, placów i dróg</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61 376</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61 376</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61 376</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61 376</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90017 – Zakłady gospodarki komunalnej</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12 000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12 000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12 000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wynagrodzenia i składki od nich naliczane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12 000</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90095 – Pozostała działalność</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804 513</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1) wydatki majątkowe: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inwestycje i zakupy inwestycyjne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2) wydatki bieżące: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504 513</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504 513</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504 513</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921 – Kultura i ochrona dziedzictwa narodowego</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1 626 460</w:t>
            </w:r>
          </w:p>
        </w:tc>
      </w:tr>
      <w:tr>
        <w:tblPrEx>
          <w:tblW w:w="5000" w:type="pct"/>
          <w:tblLayout w:type="fixed"/>
        </w:tblPrEx>
        <w:trPr>
          <w:trHeight w:val="227"/>
        </w:trPr>
        <w:tc>
          <w:tcPr>
            <w:tcW w:w="618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92113 – Centra kultury i sztuki</w:t>
            </w:r>
          </w:p>
        </w:tc>
        <w:tc>
          <w:tcPr>
            <w:tcW w:w="51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205 920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205 920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dotacje na zadania bieżące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205 920</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92114 – Pozostałe instytucje kultury</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497 500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497 500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dotacje na zadania bieżące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497 500</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92116 – Biblioteki</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923 040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923 040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dotacje na zadania bieżące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923 040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926 – Kultura fizyczna</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10 158 680</w:t>
            </w:r>
          </w:p>
        </w:tc>
      </w:tr>
      <w:tr>
        <w:tblPrEx>
          <w:tblW w:w="5000" w:type="pct"/>
          <w:tblLayout w:type="fixed"/>
        </w:tblPrEx>
        <w:trPr>
          <w:trHeight w:val="227"/>
        </w:trPr>
        <w:tc>
          <w:tcPr>
            <w:tcW w:w="618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92604 – Instytucje kultury fizycznej</w:t>
            </w:r>
          </w:p>
        </w:tc>
        <w:tc>
          <w:tcPr>
            <w:tcW w:w="51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158 680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158 680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158 680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158 680</w:t>
            </w: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92695 – Pozostała działalność</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10 000 000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majątkowe: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10 000 000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zakup i objęcie akcji i udziałów</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10 000 000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rPr>
                <w:u w:val="single"/>
              </w:rPr>
              <w:t>w zakresie zadań własnych powiatu</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600 – Transport i łączność</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632 945</w:t>
            </w:r>
          </w:p>
        </w:tc>
      </w:tr>
      <w:tr>
        <w:tblPrEx>
          <w:tblW w:w="5000" w:type="pct"/>
          <w:tblLayout w:type="fixed"/>
        </w:tblPrEx>
        <w:trPr>
          <w:trHeight w:val="227"/>
        </w:trPr>
        <w:tc>
          <w:tcPr>
            <w:tcW w:w="618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60015 – Drogi publiczne w miastach na prawach powiatu</w:t>
            </w:r>
          </w:p>
        </w:tc>
        <w:tc>
          <w:tcPr>
            <w:tcW w:w="51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632 945</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632 945</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632 945</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632 945</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851 – Ochrona zdrowia</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2 000 000</w:t>
            </w:r>
          </w:p>
        </w:tc>
      </w:tr>
      <w:tr>
        <w:tblPrEx>
          <w:tblW w:w="5000" w:type="pct"/>
          <w:tblLayout w:type="fixed"/>
        </w:tblPrEx>
        <w:trPr>
          <w:trHeight w:val="227"/>
        </w:trPr>
        <w:tc>
          <w:tcPr>
            <w:tcW w:w="618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85111 – Szpitale ogólne</w:t>
            </w:r>
          </w:p>
        </w:tc>
        <w:tc>
          <w:tcPr>
            <w:tcW w:w="51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2 000 000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2 000 000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2 000 000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wydatki związane z realizacją ich statutowych zadań</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2 000 000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853 – Pozostałe zadania w zakresie polityki społecznej</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304 634</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r>
      <w:tr>
        <w:tblPrEx>
          <w:tblW w:w="5000" w:type="pct"/>
          <w:tblLayout w:type="fixed"/>
        </w:tblPrEx>
        <w:trPr>
          <w:trHeight w:val="227"/>
        </w:trPr>
        <w:tc>
          <w:tcPr>
            <w:tcW w:w="618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85333 – Powiatowe urzędy pracy</w:t>
            </w:r>
          </w:p>
        </w:tc>
        <w:tc>
          <w:tcPr>
            <w:tcW w:w="51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304 634</w:t>
            </w:r>
          </w:p>
        </w:tc>
        <w:tc>
          <w:tcPr>
            <w:tcW w:w="165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304 634</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na programy finansowane z</w:t>
            </w:r>
            <w:r>
              <w:t> </w:t>
            </w:r>
            <w:r>
              <w:t>udziałem środków, o</w:t>
            </w:r>
            <w:r>
              <w:t> </w:t>
            </w:r>
            <w:r>
              <w:t>których mowa w</w:t>
            </w:r>
            <w:r>
              <w:t> </w:t>
            </w:r>
            <w:r>
              <w:t>art.</w:t>
            </w:r>
            <w:r>
              <w:t> </w:t>
            </w:r>
            <w:r>
              <w:t>5 ust.</w:t>
            </w:r>
            <w:r>
              <w:t> </w:t>
            </w:r>
            <w:r>
              <w:t>1 pkt</w:t>
            </w:r>
            <w:r>
              <w:t> </w:t>
            </w:r>
            <w:r>
              <w:t>2</w:t>
            </w:r>
            <w:r>
              <w:t> </w:t>
            </w:r>
            <w:r>
              <w:t>i</w:t>
            </w:r>
            <w:r>
              <w:t> </w:t>
            </w:r>
            <w:r>
              <w:t>3 uofp</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304 634</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227"/>
        </w:trPr>
        <w:tc>
          <w:tcPr>
            <w:tcW w:w="6180" w:type="dxa"/>
            <w:tcBorders>
              <w:top w:val="nil"/>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 dziale 854 – Edukacyjna opieka wychowawcza</w:t>
            </w:r>
          </w:p>
        </w:tc>
        <w:tc>
          <w:tcPr>
            <w:tcW w:w="51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1 100 000</w:t>
            </w:r>
          </w:p>
        </w:tc>
      </w:tr>
      <w:tr>
        <w:tblPrEx>
          <w:tblW w:w="5000" w:type="pct"/>
          <w:tblLayout w:type="fixed"/>
        </w:tblPrEx>
        <w:trPr>
          <w:trHeight w:val="227"/>
        </w:trPr>
        <w:tc>
          <w:tcPr>
            <w:tcW w:w="618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rozdz. 85495 – Pozostała działalność</w:t>
            </w:r>
          </w:p>
        </w:tc>
        <w:tc>
          <w:tcPr>
            <w:tcW w:w="51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single" w:sz="2" w:space="0" w:color="auto"/>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1 100 000</w:t>
            </w:r>
          </w:p>
        </w:tc>
      </w:tr>
      <w:tr>
        <w:tblPrEx>
          <w:tblW w:w="5000" w:type="pct"/>
          <w:tblLayout w:type="fixed"/>
        </w:tblPrEx>
        <w:trPr>
          <w:trHeight w:val="227"/>
        </w:trPr>
        <w:tc>
          <w:tcPr>
            <w:tcW w:w="6180" w:type="dxa"/>
            <w:tcBorders>
              <w:top w:val="single" w:sz="2" w:space="0" w:color="auto"/>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wydatki bieżące:</w:t>
            </w:r>
          </w:p>
        </w:tc>
        <w:tc>
          <w:tcPr>
            <w:tcW w:w="51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single" w:sz="2" w:space="0" w:color="auto"/>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1 100 000</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wydatki jednostek budżetowych, w tym na:</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1 100 000</w:t>
            </w:r>
          </w:p>
        </w:tc>
      </w:tr>
      <w:tr>
        <w:tblPrEx>
          <w:tblW w:w="5000" w:type="pct"/>
          <w:tblLayout w:type="fixed"/>
        </w:tblPrEx>
        <w:trPr>
          <w:trHeight w:val="226"/>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 wynagrodzenia i składki od nich naliczane</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1 100 000</w:t>
            </w:r>
          </w:p>
        </w:tc>
      </w:tr>
      <w:tr>
        <w:tblPrEx>
          <w:tblW w:w="5000" w:type="pct"/>
          <w:tblLayout w:type="fixed"/>
        </w:tblPrEx>
        <w:trPr>
          <w:trHeight w:val="226"/>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p>
        </w:tc>
      </w:tr>
      <w:tr>
        <w:tblPrEx>
          <w:tblW w:w="5000" w:type="pct"/>
          <w:tblLayout w:type="fixed"/>
        </w:tblPrEx>
        <w:trPr>
          <w:trHeight w:val="226"/>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rPr>
                <w:u w:val="single"/>
              </w:rPr>
              <w:t>po stronie rozchodów</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r>
              <w:rPr>
                <w:u w:val="single"/>
              </w:rPr>
              <w:t>zmniejszenie</w:t>
            </w:r>
          </w:p>
        </w:tc>
        <w:tc>
          <w:tcPr>
            <w:tcW w:w="165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r>
              <w:rPr>
                <w:u w:val="single"/>
              </w:rPr>
              <w:t>zwiększenie</w:t>
            </w:r>
          </w:p>
        </w:tc>
      </w:tr>
      <w:tr>
        <w:tblPrEx>
          <w:tblW w:w="5000" w:type="pct"/>
          <w:tblLayout w:type="fixed"/>
        </w:tblPrEx>
        <w:trPr>
          <w:trHeight w:val="226"/>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center"/>
              <w:rPr>
                <w:rFonts w:ascii="Arial" w:eastAsia="Arial" w:hAnsi="Arial" w:cs="Arial"/>
                <w:b w:val="0"/>
                <w:i w:val="0"/>
                <w:caps w:val="0"/>
                <w:strike w:val="0"/>
                <w:color w:val="auto"/>
                <w:sz w:val="24"/>
                <w:u w:val="none"/>
                <w:vertAlign w:val="baseline"/>
              </w:rPr>
            </w:pPr>
          </w:p>
        </w:tc>
      </w:tr>
      <w:tr>
        <w:tblPrEx>
          <w:tblW w:w="5000" w:type="pct"/>
          <w:tblLayout w:type="fixed"/>
        </w:tblPrEx>
        <w:trPr>
          <w:trHeight w:val="226"/>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wcześniejsza spłata istniejącego długu jednostek samorządu terytorialnego</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183 325 582</w:t>
            </w:r>
          </w:p>
        </w:tc>
      </w:tr>
      <w:tr>
        <w:tblPrEx>
          <w:tblW w:w="5000" w:type="pct"/>
          <w:tblLayout w:type="fixed"/>
        </w:tblPrEx>
        <w:trPr>
          <w:trHeight w:val="226"/>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r>
              <w:t>– spłaty otrzymanych krajowych pożyczek i kredytów</w:t>
            </w: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zł</w:t>
            </w: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145 392</w:t>
            </w: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r>
              <w:t>–</w:t>
            </w:r>
          </w:p>
        </w:tc>
      </w:tr>
      <w:tr>
        <w:tblPrEx>
          <w:tblW w:w="5000" w:type="pct"/>
          <w:tblLayout w:type="fixed"/>
        </w:tblPrEx>
        <w:trPr>
          <w:trHeight w:val="227"/>
        </w:trPr>
        <w:tc>
          <w:tcPr>
            <w:tcW w:w="6180" w:type="dxa"/>
            <w:tcBorders>
              <w:top w:val="nil"/>
              <w:left w:val="nil"/>
              <w:bottom w:val="nil"/>
              <w:right w:val="nil"/>
            </w:tcBorders>
            <w:noWrap w:val="0"/>
            <w:tcMar>
              <w:top w:w="100" w:type="dxa"/>
            </w:tcMar>
            <w:textDirection w:val="lrTb"/>
            <w:vAlign w:val="bottom"/>
          </w:tcPr>
          <w:p w:rsidR="00A77B3E">
            <w:pPr>
              <w:spacing w:before="0" w:after="0"/>
              <w:jc w:val="left"/>
              <w:rPr>
                <w:rFonts w:ascii="Arial" w:eastAsia="Arial" w:hAnsi="Arial" w:cs="Arial"/>
                <w:b w:val="0"/>
                <w:i w:val="0"/>
                <w:caps w:val="0"/>
                <w:strike w:val="0"/>
                <w:color w:val="auto"/>
                <w:sz w:val="24"/>
                <w:u w:val="none"/>
                <w:vertAlign w:val="baseline"/>
              </w:rPr>
            </w:pPr>
          </w:p>
        </w:tc>
        <w:tc>
          <w:tcPr>
            <w:tcW w:w="51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74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c>
          <w:tcPr>
            <w:tcW w:w="1650" w:type="dxa"/>
            <w:tcBorders>
              <w:top w:val="nil"/>
              <w:left w:val="nil"/>
              <w:bottom w:val="nil"/>
              <w:right w:val="nil"/>
            </w:tcBorders>
            <w:noWrap w:val="0"/>
            <w:tcMar>
              <w:top w:w="100" w:type="dxa"/>
            </w:tcMar>
            <w:textDirection w:val="lrTb"/>
            <w:vAlign w:val="bottom"/>
          </w:tcPr>
          <w:p w:rsidR="00A77B3E">
            <w:pPr>
              <w:spacing w:before="0" w:after="0"/>
              <w:jc w:val="right"/>
              <w:rPr>
                <w:rFonts w:ascii="Arial" w:eastAsia="Arial" w:hAnsi="Arial" w:cs="Arial"/>
                <w:b w:val="0"/>
                <w:i w:val="0"/>
                <w:caps w:val="0"/>
                <w:strike w:val="0"/>
                <w:color w:val="auto"/>
                <w:sz w:val="24"/>
                <w:u w:val="none"/>
                <w:vertAlign w:val="baseline"/>
              </w:rPr>
            </w:pPr>
          </w:p>
        </w:tc>
      </w:tr>
    </w:tbl>
    <w:p w:rsidR="00A77B3E">
      <w:pPr>
        <w:keepNext w:val="0"/>
        <w:keepLines/>
        <w:spacing w:before="120" w:after="120" w:line="276"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b/>
          <w:sz w:val="24"/>
        </w:rPr>
        <w:t>§ 2. </w:t>
      </w:r>
      <w:r>
        <w:rPr>
          <w:rFonts w:ascii="Arial" w:eastAsia="Arial" w:hAnsi="Arial" w:cs="Arial"/>
          <w:b w:val="0"/>
          <w:i w:val="0"/>
          <w:caps w:val="0"/>
          <w:strike w:val="0"/>
          <w:color w:val="auto"/>
          <w:sz w:val="24"/>
          <w:u w:val="none"/>
          <w:vertAlign w:val="baseline"/>
        </w:rPr>
        <w:t>W uchwale nr XXVI/224/25 Rady Miejskiej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Bytomiu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15 grudnia 2025</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roku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sprawie uchwały budżetowej miasta Bytomia na 2026</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rok:</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1) </w:t>
      </w:r>
      <w:r>
        <w:rPr>
          <w:rFonts w:ascii="Arial" w:eastAsia="Arial" w:hAnsi="Arial" w:cs="Arial"/>
          <w:b w:val="0"/>
          <w:i w:val="0"/>
          <w:caps w:val="0"/>
          <w:strike w:val="0"/>
          <w:color w:val="auto"/>
          <w:sz w:val="24"/>
          <w:u w:val="none"/>
          <w:vertAlign w:val="baseline"/>
        </w:rPr>
        <w:t>§ 3</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otrzymuje brzmienie:</w:t>
      </w:r>
    </w:p>
    <w:p w:rsidR="00A77B3E">
      <w:pPr>
        <w:keepNext w:val="0"/>
        <w:keepLines w:val="0"/>
        <w:spacing w:before="120" w:after="120" w:line="276" w:lineRule="auto"/>
        <w:ind w:left="0" w:right="0" w:firstLine="227"/>
        <w:jc w:val="left"/>
        <w:rPr>
          <w:rFonts w:ascii="Arial" w:eastAsia="Arial" w:hAnsi="Arial" w:cs="Arial"/>
          <w:b w:val="0"/>
          <w:i w:val="0"/>
          <w:caps w:val="0"/>
          <w:strike w:val="0"/>
          <w:color w:val="auto"/>
          <w:sz w:val="24"/>
          <w:u w:val="none"/>
          <w:vertAlign w:val="baseline"/>
        </w:rPr>
      </w:pPr>
      <w:r>
        <w:rPr>
          <w:rFonts w:ascii="Arial" w:eastAsia="Arial" w:hAnsi="Arial" w:cs="Arial"/>
          <w:b w:val="0"/>
          <w:i w:val="0"/>
          <w:caps w:val="0"/>
          <w:strike w:val="0"/>
          <w:color w:val="auto"/>
          <w:sz w:val="24"/>
          <w:u w:val="none"/>
          <w:vertAlign w:val="baseline"/>
        </w:rPr>
        <w: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3.</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Planowany deficyt budżetu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łącznej kwocie 108</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795</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226</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zł, który zostanie sfinansowany pożyczką długoterminową zaciągniętą na rynku krajowym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kwocie 66</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908</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944</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zł, wolnymi środkami, o</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których mowa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art.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217</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ust.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2</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pkt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6</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ustawy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kwocie 14</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786</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580</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zł oraz niewykorzystanymi środkami pieniężnymi na rachunku bieżącym budżetu, wynikającymi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rozliczenia dochodów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wydatków nimi finansowanych związanych ze szczególnymi zasadami wykonywania budżetu określonymi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odrębnych ustawach oraz wynikającymi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rozliczenia środków określonych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art.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5</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ust.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1</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pkt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2 ustawy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dotacji na realizację programu, projektu lub zadania finansowanego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udziałem tych środków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kwocie  27</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099</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702</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zł, zgodnie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załącznikiem nr</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4.”, przedłożonym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załączniku nr</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1</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do niniejszej uchwały;</w:t>
      </w:r>
      <w:r>
        <w:rPr>
          <w:rFonts w:ascii="Arial" w:eastAsia="Arial" w:hAnsi="Arial" w:cs="Arial"/>
          <w:b w:val="0"/>
          <w:i w:val="0"/>
          <w:caps w:val="0"/>
          <w:strike w:val="0"/>
          <w:color w:val="auto"/>
          <w:sz w:val="24"/>
          <w:u w:val="none"/>
          <w:vertAlign w:val="baseline"/>
        </w:rPr>
        <w:t> </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2) </w:t>
      </w:r>
      <w:r>
        <w:rPr>
          <w:rFonts w:ascii="Arial" w:eastAsia="Arial" w:hAnsi="Arial" w:cs="Arial"/>
          <w:b w:val="0"/>
          <w:i w:val="0"/>
          <w:caps w:val="0"/>
          <w:strike w:val="0"/>
          <w:color w:val="auto"/>
          <w:sz w:val="24"/>
          <w:u w:val="none"/>
          <w:vertAlign w:val="baseline"/>
        </w:rPr>
        <w:t>§ 4</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otrzymuje brzmienie:</w:t>
      </w:r>
    </w:p>
    <w:p w:rsidR="00A77B3E">
      <w:pPr>
        <w:keepNext w:val="0"/>
        <w:keepLines w:val="0"/>
        <w:spacing w:before="120" w:after="120" w:line="276" w:lineRule="auto"/>
        <w:ind w:left="0" w:right="0" w:firstLine="227"/>
        <w:jc w:val="left"/>
        <w:rPr>
          <w:rFonts w:ascii="Arial" w:eastAsia="Arial" w:hAnsi="Arial" w:cs="Arial"/>
          <w:b w:val="0"/>
          <w:i w:val="0"/>
          <w:caps w:val="0"/>
          <w:strike w:val="0"/>
          <w:color w:val="auto"/>
          <w:sz w:val="24"/>
          <w:u w:val="none"/>
          <w:vertAlign w:val="baseline"/>
        </w:rPr>
      </w:pPr>
      <w:r>
        <w:rPr>
          <w:rFonts w:ascii="Arial" w:eastAsia="Arial" w:hAnsi="Arial" w:cs="Arial"/>
          <w:b w:val="0"/>
          <w:i w:val="0"/>
          <w:caps w:val="0"/>
          <w:strike w:val="0"/>
          <w:color w:val="auto"/>
          <w:sz w:val="24"/>
          <w:u w:val="none"/>
          <w:vertAlign w:val="baseline"/>
        </w:rPr>
        <w:t>„§ 4. Planowane przychody budżetu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łącznej kwocie 325</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211</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864</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zł, zgodnie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załącznikiem nr 5.”, przedłożonym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załączniku nr</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2</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do niniejszej uchwały;</w:t>
      </w:r>
      <w:r>
        <w:rPr>
          <w:rFonts w:ascii="Arial" w:eastAsia="Arial" w:hAnsi="Arial" w:cs="Arial"/>
          <w:b w:val="0"/>
          <w:i w:val="0"/>
          <w:caps w:val="0"/>
          <w:strike w:val="0"/>
          <w:color w:val="auto"/>
          <w:sz w:val="24"/>
          <w:u w:val="none"/>
          <w:vertAlign w:val="baseline"/>
        </w:rPr>
        <w:t> </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3) </w:t>
      </w:r>
      <w:r>
        <w:rPr>
          <w:rFonts w:ascii="Arial" w:eastAsia="Arial" w:hAnsi="Arial" w:cs="Arial"/>
          <w:b w:val="0"/>
          <w:i w:val="0"/>
          <w:caps w:val="0"/>
          <w:strike w:val="0"/>
          <w:color w:val="auto"/>
          <w:sz w:val="24"/>
          <w:u w:val="none"/>
          <w:vertAlign w:val="baseline"/>
        </w:rPr>
        <w:t>§ 5</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otrzymuje brzmienie:</w:t>
      </w:r>
    </w:p>
    <w:p w:rsidR="00A77B3E">
      <w:pPr>
        <w:keepNext w:val="0"/>
        <w:keepLines w:val="0"/>
        <w:spacing w:before="120" w:after="120" w:line="276" w:lineRule="auto"/>
        <w:ind w:left="0" w:right="0" w:firstLine="227"/>
        <w:jc w:val="left"/>
        <w:rPr>
          <w:rFonts w:ascii="Arial" w:eastAsia="Arial" w:hAnsi="Arial" w:cs="Arial"/>
          <w:b w:val="0"/>
          <w:i w:val="0"/>
          <w:caps w:val="0"/>
          <w:strike w:val="0"/>
          <w:color w:val="auto"/>
          <w:sz w:val="24"/>
          <w:u w:val="none"/>
          <w:vertAlign w:val="baseline"/>
        </w:rPr>
      </w:pPr>
      <w:r>
        <w:rPr>
          <w:rFonts w:ascii="Arial" w:eastAsia="Arial" w:hAnsi="Arial" w:cs="Arial"/>
          <w:b w:val="0"/>
          <w:i w:val="0"/>
          <w:caps w:val="0"/>
          <w:strike w:val="0"/>
          <w:color w:val="auto"/>
          <w:sz w:val="24"/>
          <w:u w:val="none"/>
          <w:vertAlign w:val="baseline"/>
        </w:rPr>
        <w:t>„§ 5. Planowane rozchody budżetu miasta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łącznej kwocie 216</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416</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638</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zł, zgodnie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załącznikiem nr 6.”, przedłożonym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załączniku nr</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3</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do niniejszej uchwały;</w:t>
      </w:r>
      <w:r>
        <w:rPr>
          <w:rFonts w:ascii="Arial" w:eastAsia="Arial" w:hAnsi="Arial" w:cs="Arial"/>
          <w:b w:val="0"/>
          <w:i w:val="0"/>
          <w:caps w:val="0"/>
          <w:strike w:val="0"/>
          <w:color w:val="auto"/>
          <w:sz w:val="24"/>
          <w:u w:val="none"/>
          <w:vertAlign w:val="baseline"/>
        </w:rPr>
        <w:t> </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4) </w:t>
      </w:r>
      <w:r>
        <w:rPr>
          <w:rFonts w:ascii="Arial" w:eastAsia="Arial" w:hAnsi="Arial" w:cs="Arial"/>
          <w:b w:val="0"/>
          <w:i w:val="0"/>
          <w:caps w:val="0"/>
          <w:strike w:val="0"/>
          <w:color w:val="auto"/>
          <w:sz w:val="24"/>
          <w:u w:val="none"/>
          <w:vertAlign w:val="baseline"/>
        </w:rPr>
        <w:t>§ 6</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otrzymuje brzmienie:</w:t>
      </w:r>
    </w:p>
    <w:p w:rsidR="00A77B3E">
      <w:pPr>
        <w:keepNext w:val="0"/>
        <w:keepLines/>
        <w:spacing w:before="120" w:after="120" w:line="276" w:lineRule="auto"/>
        <w:ind w:left="453" w:right="0" w:firstLine="227"/>
        <w:jc w:val="left"/>
        <w:rPr>
          <w:rFonts w:ascii="Arial" w:eastAsia="Arial" w:hAnsi="Arial" w:cs="Arial"/>
          <w:b w:val="0"/>
          <w:i w:val="0"/>
          <w:caps w:val="0"/>
          <w:strike w:val="0"/>
          <w:color w:val="auto"/>
          <w:sz w:val="24"/>
          <w:u w:val="none"/>
          <w:vertAlign w:val="baseline"/>
        </w:rPr>
      </w:pPr>
      <w:r>
        <w:rPr>
          <w:b w:val="0"/>
          <w:i w:val="0"/>
          <w:u w:val="none"/>
        </w:rPr>
        <w:t>„</w:t>
      </w:r>
      <w:r>
        <w:rPr>
          <w:rFonts w:ascii="Arial" w:eastAsia="Arial" w:hAnsi="Arial" w:cs="Arial"/>
          <w:sz w:val="24"/>
        </w:rPr>
        <w:t>§ 6. </w:t>
      </w:r>
      <w:r>
        <w:rPr>
          <w:rFonts w:ascii="Arial" w:eastAsia="Arial" w:hAnsi="Arial" w:cs="Arial"/>
          <w:b w:val="0"/>
          <w:i w:val="0"/>
          <w:caps w:val="0"/>
          <w:strike w:val="0"/>
          <w:color w:val="auto"/>
          <w:sz w:val="24"/>
          <w:u w:val="none"/>
          <w:vertAlign w:val="baseline"/>
        </w:rPr>
        <w:t>Limit zobowiązań na 2026</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rok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tytułu zaciągniętego kredytu krótkoterminowego, planowanych do</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zaciągnięcia pożyczek długoterminowych oraz planowanej emisji obligacji komunalnych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kwocie 313</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325</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582</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zł,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tym</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125"/>
        <w:gridCol w:w="6391"/>
        <w:gridCol w:w="2566"/>
      </w:tblGrid>
      <w:tr>
        <w:tblPrEx>
          <w:tblW w:w="5000" w:type="pct"/>
          <w:tblLayout w:type="fixed"/>
        </w:tblPrEx>
        <w:trPr>
          <w:trHeight w:val="226"/>
        </w:trPr>
        <w:tc>
          <w:tcPr>
            <w:tcW w:w="112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r>
              <w:t>1)</w:t>
            </w:r>
          </w:p>
        </w:tc>
        <w:tc>
          <w:tcPr>
            <w:tcW w:w="6390" w:type="dxa"/>
            <w:tcBorders>
              <w:top w:val="nil"/>
              <w:left w:val="nil"/>
              <w:bottom w:val="nil"/>
              <w:right w:val="nil"/>
            </w:tcBorders>
            <w:noWrap w:val="0"/>
            <w:tcMar>
              <w:top w:w="100" w:type="dxa"/>
            </w:tcMar>
            <w:textDirection w:val="lrTb"/>
            <w:vAlign w:val="top"/>
          </w:tcPr>
          <w:p w:rsidR="00A77B3E">
            <w:pPr>
              <w:spacing w:before="0" w:after="0"/>
              <w:jc w:val="left"/>
              <w:rPr>
                <w:rFonts w:ascii="Arial" w:eastAsia="Arial" w:hAnsi="Arial" w:cs="Arial"/>
                <w:b w:val="0"/>
                <w:i w:val="0"/>
                <w:caps w:val="0"/>
                <w:strike w:val="0"/>
                <w:color w:val="auto"/>
                <w:sz w:val="24"/>
                <w:u w:val="none"/>
                <w:vertAlign w:val="baseline"/>
              </w:rPr>
            </w:pPr>
            <w:r>
              <w:t>pokrycie występującego w</w:t>
            </w:r>
            <w:r>
              <w:t> </w:t>
            </w:r>
            <w:r>
              <w:t xml:space="preserve">ciągu roku przejściowego </w:t>
            </w:r>
          </w:p>
        </w:tc>
        <w:tc>
          <w:tcPr>
            <w:tcW w:w="256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340"/>
        </w:trPr>
        <w:tc>
          <w:tcPr>
            <w:tcW w:w="1125" w:type="dxa"/>
            <w:tcBorders>
              <w:top w:val="nil"/>
              <w:left w:val="nil"/>
              <w:bottom w:val="nil"/>
              <w:right w:val="nil"/>
            </w:tcBorders>
            <w:noWrap w:val="0"/>
            <w:tcMar>
              <w:top w:w="100" w:type="dxa"/>
            </w:tcMar>
            <w:textDirection w:val="lrTb"/>
            <w:vAlign w:val="center"/>
          </w:tcPr>
          <w:p w:rsidR="00A77B3E">
            <w:pPr>
              <w:spacing w:before="0" w:after="0"/>
              <w:jc w:val="right"/>
              <w:rPr>
                <w:rFonts w:ascii="Arial" w:eastAsia="Arial" w:hAnsi="Arial" w:cs="Arial"/>
                <w:b w:val="0"/>
                <w:i w:val="0"/>
                <w:caps w:val="0"/>
                <w:strike w:val="0"/>
                <w:color w:val="auto"/>
                <w:sz w:val="24"/>
                <w:u w:val="none"/>
                <w:vertAlign w:val="baseline"/>
              </w:rPr>
            </w:pPr>
          </w:p>
        </w:tc>
        <w:tc>
          <w:tcPr>
            <w:tcW w:w="6390" w:type="dxa"/>
            <w:tcBorders>
              <w:top w:val="nil"/>
              <w:left w:val="nil"/>
              <w:bottom w:val="nil"/>
              <w:right w:val="nil"/>
            </w:tcBorders>
            <w:noWrap w:val="0"/>
            <w:tcMar>
              <w:top w:w="100" w:type="dxa"/>
            </w:tcMar>
            <w:textDirection w:val="lrTb"/>
            <w:vAlign w:val="top"/>
          </w:tcPr>
          <w:p w:rsidR="00A77B3E">
            <w:pPr>
              <w:spacing w:before="0" w:after="0"/>
              <w:jc w:val="left"/>
              <w:rPr>
                <w:rFonts w:ascii="Arial" w:eastAsia="Arial" w:hAnsi="Arial" w:cs="Arial"/>
                <w:b w:val="0"/>
                <w:i w:val="0"/>
                <w:caps w:val="0"/>
                <w:strike w:val="0"/>
                <w:color w:val="auto"/>
                <w:sz w:val="24"/>
                <w:u w:val="none"/>
                <w:vertAlign w:val="baseline"/>
              </w:rPr>
            </w:pPr>
            <w:r>
              <w:t>deficytu (kredyt krótkoterminowy)</w:t>
            </w:r>
          </w:p>
        </w:tc>
        <w:tc>
          <w:tcPr>
            <w:tcW w:w="256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r>
              <w:t>30</w:t>
            </w:r>
            <w:r>
              <w:t> </w:t>
            </w:r>
            <w:r>
              <w:t>000</w:t>
            </w:r>
            <w:r>
              <w:t> </w:t>
            </w:r>
            <w:r>
              <w:t>000 zł;</w:t>
            </w:r>
          </w:p>
        </w:tc>
      </w:tr>
      <w:tr>
        <w:tblPrEx>
          <w:tblW w:w="5000" w:type="pct"/>
          <w:tblLayout w:type="fixed"/>
        </w:tblPrEx>
        <w:trPr>
          <w:trHeight w:val="226"/>
        </w:trPr>
        <w:tc>
          <w:tcPr>
            <w:tcW w:w="112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r>
              <w:t>2)</w:t>
            </w:r>
          </w:p>
        </w:tc>
        <w:tc>
          <w:tcPr>
            <w:tcW w:w="6390" w:type="dxa"/>
            <w:tcBorders>
              <w:top w:val="nil"/>
              <w:left w:val="nil"/>
              <w:bottom w:val="nil"/>
              <w:right w:val="nil"/>
            </w:tcBorders>
            <w:noWrap w:val="0"/>
            <w:tcMar>
              <w:top w:w="100" w:type="dxa"/>
            </w:tcMar>
            <w:textDirection w:val="lrTb"/>
            <w:vAlign w:val="top"/>
          </w:tcPr>
          <w:p w:rsidR="00A77B3E">
            <w:pPr>
              <w:spacing w:before="0" w:after="0"/>
              <w:jc w:val="left"/>
              <w:rPr>
                <w:rFonts w:ascii="Arial" w:eastAsia="Arial" w:hAnsi="Arial" w:cs="Arial"/>
                <w:b w:val="0"/>
                <w:i w:val="0"/>
                <w:caps w:val="0"/>
                <w:strike w:val="0"/>
                <w:color w:val="auto"/>
                <w:sz w:val="24"/>
                <w:u w:val="none"/>
                <w:vertAlign w:val="baseline"/>
              </w:rPr>
            </w:pPr>
            <w:r>
              <w:t xml:space="preserve">sfinansowanie planowanego deficytu (pożyczka </w:t>
            </w:r>
          </w:p>
        </w:tc>
        <w:tc>
          <w:tcPr>
            <w:tcW w:w="256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340"/>
        </w:trPr>
        <w:tc>
          <w:tcPr>
            <w:tcW w:w="112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p>
        </w:tc>
        <w:tc>
          <w:tcPr>
            <w:tcW w:w="6390" w:type="dxa"/>
            <w:tcBorders>
              <w:top w:val="nil"/>
              <w:left w:val="nil"/>
              <w:bottom w:val="nil"/>
              <w:right w:val="nil"/>
            </w:tcBorders>
            <w:noWrap w:val="0"/>
            <w:tcMar>
              <w:top w:w="100" w:type="dxa"/>
            </w:tcMar>
            <w:textDirection w:val="lrTb"/>
            <w:vAlign w:val="top"/>
          </w:tcPr>
          <w:p w:rsidR="00A77B3E">
            <w:pPr>
              <w:spacing w:before="0" w:after="0"/>
              <w:jc w:val="left"/>
              <w:rPr>
                <w:rFonts w:ascii="Arial" w:eastAsia="Arial" w:hAnsi="Arial" w:cs="Arial"/>
                <w:b w:val="0"/>
                <w:i w:val="0"/>
                <w:caps w:val="0"/>
                <w:strike w:val="0"/>
                <w:color w:val="auto"/>
                <w:sz w:val="24"/>
                <w:u w:val="none"/>
                <w:vertAlign w:val="baseline"/>
              </w:rPr>
            </w:pPr>
            <w:r>
              <w:t>długoterminowa)</w:t>
            </w:r>
          </w:p>
        </w:tc>
        <w:tc>
          <w:tcPr>
            <w:tcW w:w="256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r>
              <w:t>66</w:t>
            </w:r>
            <w:r>
              <w:t> </w:t>
            </w:r>
            <w:r>
              <w:t>908 944</w:t>
            </w:r>
            <w:r>
              <w:t> </w:t>
            </w:r>
            <w:r>
              <w:t>zł;</w:t>
            </w:r>
          </w:p>
        </w:tc>
      </w:tr>
      <w:tr>
        <w:tblPrEx>
          <w:tblW w:w="5000" w:type="pct"/>
          <w:tblLayout w:type="fixed"/>
        </w:tblPrEx>
        <w:trPr>
          <w:trHeight w:val="510"/>
        </w:trPr>
        <w:tc>
          <w:tcPr>
            <w:tcW w:w="112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r>
              <w:t>3)</w:t>
            </w:r>
          </w:p>
        </w:tc>
        <w:tc>
          <w:tcPr>
            <w:tcW w:w="6390" w:type="dxa"/>
            <w:tcBorders>
              <w:top w:val="nil"/>
              <w:left w:val="nil"/>
              <w:bottom w:val="nil"/>
              <w:right w:val="nil"/>
            </w:tcBorders>
            <w:noWrap w:val="0"/>
            <w:tcMar>
              <w:top w:w="100" w:type="dxa"/>
            </w:tcMar>
            <w:textDirection w:val="lrTb"/>
            <w:vAlign w:val="top"/>
          </w:tcPr>
          <w:p w:rsidR="00A77B3E">
            <w:pPr>
              <w:spacing w:before="0" w:after="0"/>
              <w:jc w:val="left"/>
              <w:rPr>
                <w:rFonts w:ascii="Arial" w:eastAsia="Arial" w:hAnsi="Arial" w:cs="Arial"/>
                <w:b w:val="0"/>
                <w:i w:val="0"/>
                <w:caps w:val="0"/>
                <w:strike w:val="0"/>
                <w:color w:val="auto"/>
                <w:sz w:val="24"/>
                <w:u w:val="none"/>
                <w:vertAlign w:val="baseline"/>
              </w:rPr>
            </w:pPr>
            <w:r>
              <w:t xml:space="preserve">spłatę wcześniej zaciągniętych zobowiązań z tytułu kredytów, pożyczek i emisji obligacji (pożyczka </w:t>
            </w:r>
          </w:p>
        </w:tc>
        <w:tc>
          <w:tcPr>
            <w:tcW w:w="256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340"/>
        </w:trPr>
        <w:tc>
          <w:tcPr>
            <w:tcW w:w="112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p>
        </w:tc>
        <w:tc>
          <w:tcPr>
            <w:tcW w:w="6390" w:type="dxa"/>
            <w:tcBorders>
              <w:top w:val="nil"/>
              <w:left w:val="nil"/>
              <w:bottom w:val="nil"/>
              <w:right w:val="nil"/>
            </w:tcBorders>
            <w:noWrap w:val="0"/>
            <w:tcMar>
              <w:top w:w="100" w:type="dxa"/>
            </w:tcMar>
            <w:textDirection w:val="lrTb"/>
            <w:vAlign w:val="top"/>
          </w:tcPr>
          <w:p w:rsidR="00A77B3E">
            <w:pPr>
              <w:spacing w:before="0" w:after="0"/>
              <w:jc w:val="left"/>
              <w:rPr>
                <w:rFonts w:ascii="Arial" w:eastAsia="Arial" w:hAnsi="Arial" w:cs="Arial"/>
                <w:b w:val="0"/>
                <w:i w:val="0"/>
                <w:caps w:val="0"/>
                <w:strike w:val="0"/>
                <w:color w:val="auto"/>
                <w:sz w:val="24"/>
                <w:u w:val="none"/>
                <w:vertAlign w:val="baseline"/>
              </w:rPr>
            </w:pPr>
            <w:r>
              <w:t>długoterminowa)</w:t>
            </w:r>
          </w:p>
        </w:tc>
        <w:tc>
          <w:tcPr>
            <w:tcW w:w="256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r>
              <w:t>33</w:t>
            </w:r>
            <w:r>
              <w:t> </w:t>
            </w:r>
            <w:r>
              <w:t>091</w:t>
            </w:r>
            <w:r>
              <w:t> </w:t>
            </w:r>
            <w:r>
              <w:t>056 zł;</w:t>
            </w:r>
          </w:p>
        </w:tc>
      </w:tr>
      <w:tr>
        <w:tblPrEx>
          <w:tblW w:w="5000" w:type="pct"/>
          <w:tblLayout w:type="fixed"/>
        </w:tblPrEx>
        <w:trPr>
          <w:trHeight w:val="510"/>
        </w:trPr>
        <w:tc>
          <w:tcPr>
            <w:tcW w:w="112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r>
              <w:t>4)</w:t>
            </w:r>
          </w:p>
        </w:tc>
        <w:tc>
          <w:tcPr>
            <w:tcW w:w="6390" w:type="dxa"/>
            <w:tcBorders>
              <w:top w:val="nil"/>
              <w:left w:val="nil"/>
              <w:bottom w:val="nil"/>
              <w:right w:val="nil"/>
            </w:tcBorders>
            <w:noWrap w:val="0"/>
            <w:tcMar>
              <w:top w:w="100" w:type="dxa"/>
            </w:tcMar>
            <w:textDirection w:val="lrTb"/>
            <w:vAlign w:val="top"/>
          </w:tcPr>
          <w:p w:rsidR="00A77B3E">
            <w:pPr>
              <w:spacing w:before="0" w:after="0"/>
              <w:jc w:val="left"/>
              <w:rPr>
                <w:rFonts w:ascii="Arial" w:eastAsia="Arial" w:hAnsi="Arial" w:cs="Arial"/>
                <w:b w:val="0"/>
                <w:i w:val="0"/>
                <w:caps w:val="0"/>
                <w:strike w:val="0"/>
                <w:color w:val="auto"/>
                <w:sz w:val="24"/>
                <w:u w:val="none"/>
                <w:vertAlign w:val="baseline"/>
              </w:rPr>
            </w:pPr>
            <w:r>
              <w:t>spłatę wcześniej zaciągniętego zobowiązania z tytułu kredytu w</w:t>
            </w:r>
            <w:r>
              <w:t> </w:t>
            </w:r>
            <w:r>
              <w:t xml:space="preserve">Europejskim Banku Inwestycyjnym (pożyczka  </w:t>
            </w:r>
          </w:p>
        </w:tc>
        <w:tc>
          <w:tcPr>
            <w:tcW w:w="256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340"/>
        </w:trPr>
        <w:tc>
          <w:tcPr>
            <w:tcW w:w="112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p>
        </w:tc>
        <w:tc>
          <w:tcPr>
            <w:tcW w:w="6390" w:type="dxa"/>
            <w:tcBorders>
              <w:top w:val="nil"/>
              <w:left w:val="nil"/>
              <w:bottom w:val="nil"/>
              <w:right w:val="nil"/>
            </w:tcBorders>
            <w:noWrap w:val="0"/>
            <w:tcMar>
              <w:top w:w="100" w:type="dxa"/>
            </w:tcMar>
            <w:textDirection w:val="lrTb"/>
            <w:vAlign w:val="top"/>
          </w:tcPr>
          <w:p w:rsidR="00A77B3E">
            <w:pPr>
              <w:spacing w:before="0" w:after="0"/>
              <w:jc w:val="left"/>
              <w:rPr>
                <w:rFonts w:ascii="Arial" w:eastAsia="Arial" w:hAnsi="Arial" w:cs="Arial"/>
                <w:b w:val="0"/>
                <w:i w:val="0"/>
                <w:caps w:val="0"/>
                <w:strike w:val="0"/>
                <w:color w:val="auto"/>
                <w:sz w:val="24"/>
                <w:u w:val="none"/>
                <w:vertAlign w:val="baseline"/>
              </w:rPr>
            </w:pPr>
            <w:r>
              <w:t>długoterminowa)</w:t>
            </w:r>
          </w:p>
        </w:tc>
        <w:tc>
          <w:tcPr>
            <w:tcW w:w="256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r>
              <w:t>103</w:t>
            </w:r>
            <w:r>
              <w:t> </w:t>
            </w:r>
            <w:r>
              <w:t>325</w:t>
            </w:r>
            <w:r>
              <w:t> </w:t>
            </w:r>
            <w:r>
              <w:t>582 zł;</w:t>
            </w:r>
          </w:p>
        </w:tc>
      </w:tr>
      <w:tr>
        <w:tblPrEx>
          <w:tblW w:w="5000" w:type="pct"/>
          <w:tblLayout w:type="fixed"/>
        </w:tblPrEx>
        <w:trPr>
          <w:trHeight w:val="226"/>
        </w:trPr>
        <w:tc>
          <w:tcPr>
            <w:tcW w:w="112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r>
              <w:t>5)</w:t>
            </w:r>
          </w:p>
        </w:tc>
        <w:tc>
          <w:tcPr>
            <w:tcW w:w="6390" w:type="dxa"/>
            <w:tcBorders>
              <w:top w:val="nil"/>
              <w:left w:val="nil"/>
              <w:bottom w:val="nil"/>
              <w:right w:val="nil"/>
            </w:tcBorders>
            <w:noWrap w:val="0"/>
            <w:tcMar>
              <w:top w:w="100" w:type="dxa"/>
            </w:tcMar>
            <w:textDirection w:val="lrTb"/>
            <w:vAlign w:val="top"/>
          </w:tcPr>
          <w:p w:rsidR="00A77B3E">
            <w:pPr>
              <w:spacing w:before="0" w:after="0"/>
              <w:jc w:val="left"/>
              <w:rPr>
                <w:rFonts w:ascii="Arial" w:eastAsia="Arial" w:hAnsi="Arial" w:cs="Arial"/>
                <w:b w:val="0"/>
                <w:i w:val="0"/>
                <w:caps w:val="0"/>
                <w:strike w:val="0"/>
                <w:color w:val="auto"/>
                <w:sz w:val="24"/>
                <w:u w:val="none"/>
                <w:vertAlign w:val="baseline"/>
              </w:rPr>
            </w:pPr>
            <w:r>
              <w:t xml:space="preserve">spłatę wcześniej zaciągniętych zobowiązań z tytułu emisji </w:t>
            </w:r>
          </w:p>
        </w:tc>
        <w:tc>
          <w:tcPr>
            <w:tcW w:w="256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p>
        </w:tc>
      </w:tr>
      <w:tr>
        <w:tblPrEx>
          <w:tblW w:w="5000" w:type="pct"/>
          <w:tblLayout w:type="fixed"/>
        </w:tblPrEx>
        <w:trPr>
          <w:trHeight w:val="340"/>
        </w:trPr>
        <w:tc>
          <w:tcPr>
            <w:tcW w:w="112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p>
        </w:tc>
        <w:tc>
          <w:tcPr>
            <w:tcW w:w="6390" w:type="dxa"/>
            <w:tcBorders>
              <w:top w:val="nil"/>
              <w:left w:val="nil"/>
              <w:bottom w:val="nil"/>
              <w:right w:val="nil"/>
            </w:tcBorders>
            <w:noWrap w:val="0"/>
            <w:tcMar>
              <w:top w:w="100" w:type="dxa"/>
            </w:tcMar>
            <w:textDirection w:val="lrTb"/>
            <w:vAlign w:val="top"/>
          </w:tcPr>
          <w:p w:rsidR="00A77B3E">
            <w:pPr>
              <w:spacing w:before="0" w:after="0"/>
              <w:jc w:val="left"/>
              <w:rPr>
                <w:rFonts w:ascii="Arial" w:eastAsia="Arial" w:hAnsi="Arial" w:cs="Arial"/>
                <w:b w:val="0"/>
                <w:i w:val="0"/>
                <w:caps w:val="0"/>
                <w:strike w:val="0"/>
                <w:color w:val="auto"/>
                <w:sz w:val="24"/>
                <w:u w:val="none"/>
                <w:vertAlign w:val="baseline"/>
              </w:rPr>
            </w:pPr>
            <w:r>
              <w:t>obligacji (obligacje komunalne)</w:t>
            </w:r>
          </w:p>
        </w:tc>
        <w:tc>
          <w:tcPr>
            <w:tcW w:w="2565" w:type="dxa"/>
            <w:tcBorders>
              <w:top w:val="nil"/>
              <w:left w:val="nil"/>
              <w:bottom w:val="nil"/>
              <w:right w:val="nil"/>
            </w:tcBorders>
            <w:noWrap w:val="0"/>
            <w:tcMar>
              <w:top w:w="100" w:type="dxa"/>
            </w:tcMar>
            <w:textDirection w:val="lrTb"/>
            <w:vAlign w:val="top"/>
          </w:tcPr>
          <w:p w:rsidR="00A77B3E">
            <w:pPr>
              <w:spacing w:before="0" w:after="0"/>
              <w:jc w:val="right"/>
              <w:rPr>
                <w:rFonts w:ascii="Arial" w:eastAsia="Arial" w:hAnsi="Arial" w:cs="Arial"/>
                <w:b w:val="0"/>
                <w:i w:val="0"/>
                <w:caps w:val="0"/>
                <w:strike w:val="0"/>
                <w:color w:val="auto"/>
                <w:sz w:val="24"/>
                <w:u w:val="none"/>
                <w:vertAlign w:val="baseline"/>
              </w:rPr>
            </w:pPr>
            <w:r>
              <w:t>80</w:t>
            </w:r>
            <w:r>
              <w:t> </w:t>
            </w:r>
            <w:r>
              <w:t>000</w:t>
            </w:r>
            <w:r>
              <w:t> </w:t>
            </w:r>
            <w:r>
              <w:t>000 zł."</w:t>
            </w:r>
          </w:p>
        </w:tc>
      </w:tr>
    </w:tbl>
    <w:p w:rsidR="00A77B3E">
      <w:pPr>
        <w:keepNext w:val="0"/>
        <w:keepLines w:val="0"/>
        <w:spacing w:before="120" w:after="120" w:line="276" w:lineRule="auto"/>
        <w:ind w:left="793"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5) </w:t>
      </w:r>
      <w:r>
        <w:rPr>
          <w:rFonts w:ascii="Arial" w:eastAsia="Arial" w:hAnsi="Arial" w:cs="Arial"/>
          <w:b w:val="0"/>
          <w:i w:val="0"/>
          <w:caps w:val="0"/>
          <w:strike w:val="0"/>
          <w:color w:val="auto"/>
          <w:sz w:val="24"/>
          <w:u w:val="none"/>
          <w:vertAlign w:val="baseline"/>
        </w:rPr>
        <w:t>§ 7</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otrzymuje brzmienie:</w:t>
      </w:r>
    </w:p>
    <w:p w:rsidR="00A77B3E">
      <w:pPr>
        <w:keepNext w:val="0"/>
        <w:keepLines w:val="0"/>
        <w:spacing w:before="120" w:after="120" w:line="276" w:lineRule="auto"/>
        <w:ind w:left="453" w:right="0" w:firstLine="114"/>
        <w:jc w:val="left"/>
        <w:rPr>
          <w:rFonts w:ascii="Arial" w:eastAsia="Arial" w:hAnsi="Arial" w:cs="Arial"/>
          <w:b w:val="0"/>
          <w:i w:val="0"/>
          <w:caps w:val="0"/>
          <w:strike w:val="0"/>
          <w:color w:val="auto"/>
          <w:sz w:val="24"/>
          <w:u w:val="none"/>
          <w:vertAlign w:val="baseline"/>
        </w:rPr>
      </w:pPr>
      <w:r>
        <w:rPr>
          <w:rFonts w:ascii="Arial" w:eastAsia="Arial" w:hAnsi="Arial" w:cs="Arial"/>
          <w:b w:val="0"/>
          <w:i w:val="0"/>
          <w:caps w:val="0"/>
          <w:strike w:val="0"/>
          <w:color w:val="auto"/>
          <w:sz w:val="24"/>
          <w:u w:val="none"/>
          <w:vertAlign w:val="baseline"/>
        </w:rPr>
        <w: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7.</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Planowane dotacje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budżetu miasta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wysokości 217</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170 477</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zł, zgodnie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załącznikiem nr 7.”, przedłożonym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załączniku nr</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4</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do niniejszej uchwały;</w:t>
      </w:r>
      <w:r>
        <w:rPr>
          <w:b w:val="0"/>
          <w:i w:val="0"/>
          <w:u w:val="none"/>
        </w:rPr>
        <w:t>”</w:t>
      </w:r>
      <w:r>
        <w:t>;</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6) </w:t>
      </w:r>
      <w:r>
        <w:rPr>
          <w:rFonts w:ascii="Arial" w:eastAsia="Arial" w:hAnsi="Arial" w:cs="Arial"/>
          <w:b w:val="0"/>
          <w:i w:val="0"/>
          <w:caps w:val="0"/>
          <w:strike w:val="0"/>
          <w:color w:val="auto"/>
          <w:sz w:val="24"/>
          <w:u w:val="none"/>
          <w:vertAlign w:val="baseline"/>
        </w:rPr>
        <w:t>w § 8</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ust.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5</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otrzymuje brzmienie:</w:t>
      </w:r>
    </w:p>
    <w:p w:rsidR="00A77B3E">
      <w:pPr>
        <w:keepNext w:val="0"/>
        <w:keepLines w:val="0"/>
        <w:spacing w:before="120" w:after="120" w:line="276" w:lineRule="auto"/>
        <w:ind w:left="0" w:right="0" w:firstLine="227"/>
        <w:jc w:val="left"/>
        <w:rPr>
          <w:rFonts w:ascii="Arial" w:eastAsia="Arial" w:hAnsi="Arial" w:cs="Arial"/>
          <w:b w:val="0"/>
          <w:i w:val="0"/>
          <w:caps w:val="0"/>
          <w:strike w:val="0"/>
          <w:color w:val="auto"/>
          <w:sz w:val="24"/>
          <w:u w:val="none"/>
          <w:vertAlign w:val="baseline"/>
        </w:rPr>
      </w:pPr>
      <w:r>
        <w:rPr>
          <w:rFonts w:ascii="Arial" w:eastAsia="Arial" w:hAnsi="Arial" w:cs="Arial"/>
          <w:b w:val="0"/>
          <w:i w:val="0"/>
          <w:caps w:val="0"/>
          <w:strike w:val="0"/>
          <w:color w:val="auto"/>
          <w:sz w:val="24"/>
          <w:u w:val="none"/>
          <w:vertAlign w:val="baseline"/>
        </w:rPr>
        <w:t>„5. Planowane wydatki realizowane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ramach budżetu obywatelskiego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wysokości 4</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817</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928</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zł, zgodnie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załącznikiem nr</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8.”, przedłożonym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załączniku nr</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5</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do niniejszej uchwały,</w:t>
      </w:r>
    </w:p>
    <w:p w:rsidR="00A77B3E">
      <w:pPr>
        <w:keepNext w:val="0"/>
        <w:keepLines w:val="0"/>
        <w:spacing w:before="120" w:after="120" w:line="276" w:lineRule="auto"/>
        <w:ind w:left="340"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7) </w:t>
      </w:r>
      <w:r>
        <w:rPr>
          <w:rFonts w:ascii="Arial" w:eastAsia="Arial" w:hAnsi="Arial" w:cs="Arial"/>
          <w:b w:val="0"/>
          <w:i w:val="0"/>
          <w:caps w:val="0"/>
          <w:strike w:val="0"/>
          <w:color w:val="auto"/>
          <w:sz w:val="24"/>
          <w:u w:val="none"/>
          <w:vertAlign w:val="baseline"/>
        </w:rPr>
        <w:t>w §</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14 ust.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1:</w:t>
      </w:r>
    </w:p>
    <w:p w:rsidR="00A77B3E">
      <w:pPr>
        <w:keepNext w:val="0"/>
        <w:keepLines/>
        <w:spacing w:before="120" w:after="120" w:line="276" w:lineRule="auto"/>
        <w:ind w:left="567"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a) </w:t>
      </w:r>
      <w:r>
        <w:rPr>
          <w:rFonts w:ascii="Arial" w:eastAsia="Arial" w:hAnsi="Arial" w:cs="Arial"/>
          <w:b w:val="0"/>
          <w:i w:val="0"/>
          <w:caps w:val="0"/>
          <w:strike w:val="0"/>
          <w:color w:val="auto"/>
          <w:sz w:val="24"/>
          <w:u w:val="none"/>
          <w:vertAlign w:val="baseline"/>
        </w:rPr>
        <w:t>pkt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3</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otrzymuje brzmienie:</w:t>
      </w:r>
    </w:p>
    <w:p w:rsidR="00A77B3E">
      <w:pPr>
        <w:keepNext w:val="0"/>
        <w:keepLines w:val="0"/>
        <w:spacing w:before="120" w:after="120" w:line="276" w:lineRule="auto"/>
        <w:ind w:left="1020" w:right="0" w:hanging="340"/>
        <w:jc w:val="left"/>
        <w:rPr>
          <w:rFonts w:ascii="Arial" w:eastAsia="Arial" w:hAnsi="Arial" w:cs="Arial"/>
          <w:b w:val="0"/>
          <w:i w:val="0"/>
          <w:caps w:val="0"/>
          <w:strike w:val="0"/>
          <w:color w:val="auto"/>
          <w:sz w:val="24"/>
          <w:u w:val="none"/>
          <w:vertAlign w:val="baseline"/>
        </w:rPr>
      </w:pPr>
      <w:r>
        <w:rPr>
          <w:b w:val="0"/>
          <w:i w:val="0"/>
          <w:u w:val="none"/>
        </w:rPr>
        <w:t>„</w:t>
      </w:r>
      <w:r>
        <w:rPr>
          <w:rFonts w:ascii="Arial" w:eastAsia="Arial" w:hAnsi="Arial" w:cs="Arial"/>
          <w:sz w:val="24"/>
        </w:rPr>
        <w:t>3) </w:t>
      </w:r>
      <w:r>
        <w:rPr>
          <w:rFonts w:ascii="Arial" w:eastAsia="Arial" w:hAnsi="Arial" w:cs="Arial"/>
          <w:b w:val="0"/>
          <w:i w:val="0"/>
          <w:caps w:val="0"/>
          <w:strike w:val="0"/>
          <w:color w:val="auto"/>
          <w:sz w:val="24"/>
          <w:u w:val="none"/>
          <w:vertAlign w:val="baseline"/>
        </w:rPr>
        <w:t>zaciągnięcia pożyczek na sfinansowanie części planowanego deficytu budżetu miasta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spłatę wcześniej zaciągniętych zobowiązań do kwoty 203</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325</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582</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zł;</w:t>
      </w:r>
      <w:r>
        <w:rPr>
          <w:b w:val="0"/>
          <w:i w:val="0"/>
          <w:u w:val="none"/>
        </w:rPr>
        <w:t>”</w:t>
      </w:r>
      <w:r>
        <w:t>,</w:t>
      </w:r>
    </w:p>
    <w:p w:rsidR="00A77B3E">
      <w:pPr>
        <w:keepNext w:val="0"/>
        <w:keepLines/>
        <w:spacing w:before="120" w:after="120" w:line="276" w:lineRule="auto"/>
        <w:ind w:left="567" w:right="0" w:hanging="227"/>
        <w:jc w:val="left"/>
        <w:rPr>
          <w:rFonts w:ascii="Arial" w:eastAsia="Arial" w:hAnsi="Arial" w:cs="Arial"/>
          <w:b w:val="0"/>
          <w:i w:val="0"/>
          <w:caps w:val="0"/>
          <w:strike w:val="0"/>
          <w:color w:val="auto"/>
          <w:sz w:val="24"/>
          <w:u w:val="none"/>
          <w:vertAlign w:val="baseline"/>
        </w:rPr>
      </w:pPr>
      <w:r>
        <w:rPr>
          <w:rFonts w:ascii="Arial" w:eastAsia="Arial" w:hAnsi="Arial" w:cs="Arial"/>
          <w:sz w:val="24"/>
        </w:rPr>
        <w:t>b) </w:t>
      </w:r>
      <w:r>
        <w:rPr>
          <w:rFonts w:ascii="Arial" w:eastAsia="Arial" w:hAnsi="Arial" w:cs="Arial"/>
          <w:b w:val="0"/>
          <w:i w:val="0"/>
          <w:caps w:val="0"/>
          <w:strike w:val="0"/>
          <w:color w:val="auto"/>
          <w:sz w:val="24"/>
          <w:u w:val="none"/>
          <w:vertAlign w:val="baseline"/>
        </w:rPr>
        <w:t>po pkt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3 dodaje się pkt</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3a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brzmieniu:</w:t>
      </w:r>
    </w:p>
    <w:p w:rsidR="00A77B3E">
      <w:pPr>
        <w:keepNext w:val="0"/>
        <w:keepLines w:val="0"/>
        <w:spacing w:before="120" w:after="120" w:line="276" w:lineRule="auto"/>
        <w:ind w:left="1020" w:right="0" w:hanging="340"/>
        <w:jc w:val="left"/>
        <w:rPr>
          <w:rFonts w:ascii="Arial" w:eastAsia="Arial" w:hAnsi="Arial" w:cs="Arial"/>
          <w:b w:val="0"/>
          <w:i w:val="0"/>
          <w:caps w:val="0"/>
          <w:strike w:val="0"/>
          <w:color w:val="auto"/>
          <w:sz w:val="24"/>
          <w:u w:val="none"/>
          <w:vertAlign w:val="baseline"/>
        </w:rPr>
      </w:pPr>
      <w:r>
        <w:rPr>
          <w:b w:val="0"/>
          <w:i w:val="0"/>
          <w:u w:val="none"/>
        </w:rPr>
        <w:t>„</w:t>
      </w:r>
      <w:r>
        <w:rPr>
          <w:rFonts w:ascii="Arial" w:eastAsia="Arial" w:hAnsi="Arial" w:cs="Arial"/>
          <w:sz w:val="24"/>
        </w:rPr>
        <w:t>3a) </w:t>
      </w:r>
      <w:r>
        <w:rPr>
          <w:rFonts w:ascii="Arial" w:eastAsia="Arial" w:hAnsi="Arial" w:cs="Arial"/>
          <w:b w:val="0"/>
          <w:i w:val="0"/>
          <w:caps w:val="0"/>
          <w:strike w:val="0"/>
          <w:color w:val="auto"/>
          <w:sz w:val="24"/>
          <w:u w:val="none"/>
          <w:vertAlign w:val="baseline"/>
        </w:rPr>
        <w:t>emisji obligacji komunalnych na spłatę wcześniej zaciągniętych zobowiązań do</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kwoty 80</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000</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000</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zł;</w:t>
      </w:r>
      <w:r>
        <w:rPr>
          <w:b w:val="0"/>
          <w:i w:val="0"/>
          <w:u w:val="none"/>
        </w:rPr>
        <w:t>”</w:t>
      </w:r>
      <w:r>
        <w:t>.</w:t>
      </w:r>
    </w:p>
    <w:p w:rsidR="00A77B3E">
      <w:pPr>
        <w:keepNext w:val="0"/>
        <w:keepLines/>
        <w:spacing w:before="120" w:after="120" w:line="276"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b/>
          <w:sz w:val="24"/>
        </w:rPr>
        <w:t>§ 3. </w:t>
      </w:r>
      <w:r>
        <w:rPr>
          <w:rFonts w:ascii="Arial" w:eastAsia="Arial" w:hAnsi="Arial" w:cs="Arial"/>
          <w:b w:val="0"/>
          <w:i w:val="0"/>
          <w:caps w:val="0"/>
          <w:strike w:val="0"/>
          <w:color w:val="auto"/>
          <w:sz w:val="24"/>
          <w:u w:val="none"/>
          <w:vertAlign w:val="baseline"/>
        </w:rPr>
        <w:t>Wykonanie uchwały powierza się Prezydentowi Miasta.</w:t>
      </w:r>
    </w:p>
    <w:p w:rsidR="00A77B3E">
      <w:pPr>
        <w:keepNext/>
        <w:keepLines/>
        <w:spacing w:before="120" w:after="120" w:line="276" w:lineRule="auto"/>
        <w:ind w:left="0" w:right="0" w:firstLine="340"/>
        <w:jc w:val="left"/>
        <w:rPr>
          <w:rFonts w:ascii="Arial" w:eastAsia="Arial" w:hAnsi="Arial" w:cs="Arial"/>
          <w:b w:val="0"/>
          <w:i w:val="0"/>
          <w:caps w:val="0"/>
          <w:strike w:val="0"/>
          <w:color w:val="auto"/>
          <w:sz w:val="24"/>
          <w:u w:val="none"/>
          <w:vertAlign w:val="baseline"/>
        </w:rPr>
      </w:pPr>
      <w:r>
        <w:rPr>
          <w:rFonts w:ascii="Arial" w:eastAsia="Arial" w:hAnsi="Arial" w:cs="Arial"/>
          <w:b/>
          <w:sz w:val="24"/>
        </w:rPr>
        <w:t>§ 4. </w:t>
      </w:r>
      <w:r>
        <w:rPr>
          <w:rFonts w:ascii="Arial" w:eastAsia="Arial" w:hAnsi="Arial" w:cs="Arial"/>
          <w:b w:val="0"/>
          <w:i w:val="0"/>
          <w:caps w:val="0"/>
          <w:strike w:val="0"/>
          <w:color w:val="auto"/>
          <w:sz w:val="24"/>
          <w:u w:val="none"/>
          <w:vertAlign w:val="baseline"/>
        </w:rPr>
        <w:t>Uchwała podlega ogłoszeniu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Dzienniku Urzędowym Województwa Śląskiego i</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wchodzi w</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życie z</w:t>
      </w:r>
      <w:r>
        <w:rPr>
          <w:rFonts w:ascii="Arial" w:eastAsia="Arial" w:hAnsi="Arial" w:cs="Arial"/>
          <w:b w:val="0"/>
          <w:i w:val="0"/>
          <w:caps w:val="0"/>
          <w:strike w:val="0"/>
          <w:color w:val="auto"/>
          <w:sz w:val="24"/>
          <w:u w:val="none"/>
          <w:vertAlign w:val="baseline"/>
        </w:rPr>
        <w:t> </w:t>
      </w:r>
      <w:r>
        <w:rPr>
          <w:rFonts w:ascii="Arial" w:eastAsia="Arial" w:hAnsi="Arial" w:cs="Arial"/>
          <w:b w:val="0"/>
          <w:i w:val="0"/>
          <w:caps w:val="0"/>
          <w:strike w:val="0"/>
          <w:color w:val="auto"/>
          <w:sz w:val="24"/>
          <w:u w:val="none"/>
          <w:vertAlign w:val="baseline"/>
        </w:rPr>
        <w:t>dniem podjęcia.</w:t>
      </w:r>
    </w:p>
    <w:p w:rsidR="00A77B3E">
      <w:pPr>
        <w:keepNext/>
        <w:keepLines/>
        <w:spacing w:before="120" w:after="120" w:line="276" w:lineRule="auto"/>
        <w:ind w:left="0" w:right="0" w:firstLine="340"/>
        <w:jc w:val="left"/>
        <w:rPr>
          <w:rFonts w:ascii="Arial" w:eastAsia="Arial" w:hAnsi="Arial" w:cs="Arial"/>
          <w:b w:val="0"/>
          <w:i w:val="0"/>
          <w:caps w:val="0"/>
          <w:strike w:val="0"/>
          <w:color w:val="auto"/>
          <w:sz w:val="24"/>
          <w:u w:val="none"/>
          <w:vertAlign w:val="baseline"/>
        </w:rPr>
      </w:pPr>
    </w:p>
    <w:p w:rsidR="00A77B3E">
      <w:pPr>
        <w:keepNext/>
        <w:spacing w:before="0" w:after="0"/>
        <w:rPr>
          <w:rFonts w:ascii="Arial" w:eastAsia="Arial" w:hAnsi="Arial" w:cs="Arial"/>
          <w:b w:val="0"/>
          <w:i w:val="0"/>
          <w:caps w:val="0"/>
          <w:strike w:val="0"/>
          <w:color w:val="auto"/>
          <w:sz w:val="24"/>
          <w:u w:val="none"/>
          <w:vertAlign w:val="baseline"/>
        </w:rPr>
      </w:pPr>
      <w:r>
        <w:rPr>
          <w:b w:val="0"/>
          <w:i w:val="0"/>
          <w:color w:val="000000"/>
          <w:u w:val="none"/>
          <w:vertAlign w:val="baseline"/>
        </w:rPr>
        <w:t> </w:t>
      </w:r>
    </w:p>
    <w:tbl>
      <w:tblPr>
        <w:tblW w:w="5000" w:type="pct"/>
        <w:tblCellMar>
          <w:top w:w="0" w:type="dxa"/>
          <w:left w:w="0" w:type="dxa"/>
          <w:bottom w:w="0" w:type="dxa"/>
          <w:right w:w="0" w:type="dxa"/>
        </w:tblCellMar>
      </w:tblPr>
      <w:tblGrid>
        <w:gridCol w:w="4933"/>
        <w:gridCol w:w="4933"/>
      </w:tblGrid>
      <w:tr>
        <w:tblPrEx>
          <w:tblW w:w="5000" w:type="pct"/>
        </w:tblPrEx>
        <w:tc>
          <w:tcPr>
            <w:tcW w:w="2500" w:type="pct"/>
            <w:noWrap w:val="0"/>
            <w:tcMar>
              <w:top w:w="0" w:type="dxa"/>
              <w:left w:w="0" w:type="dxa"/>
              <w:bottom w:w="0" w:type="dxa"/>
              <w:right w:w="0" w:type="dxa"/>
            </w:tcMar>
            <w:vAlign w:val="top"/>
            <w:hideMark/>
          </w:tcPr>
          <w:p>
            <w:pPr>
              <w:keepNext/>
              <w:keepLines/>
              <w:jc w:val="left"/>
              <w:rPr>
                <w:rFonts w:ascii="Arial" w:eastAsia="Arial" w:hAnsi="Arial" w:cs="Arial"/>
                <w:b w:val="0"/>
                <w:bCs w:val="0"/>
                <w:i w:val="0"/>
                <w:iCs w:val="0"/>
                <w:smallCaps w:val="0"/>
                <w:color w:val="000000"/>
                <w:sz w:val="24"/>
              </w:rPr>
            </w:pPr>
          </w:p>
        </w:tc>
        <w:tc>
          <w:tcPr>
            <w:tcW w:w="2500" w:type="pct"/>
            <w:noWrap w:val="0"/>
            <w:tcMar>
              <w:top w:w="0" w:type="dxa"/>
              <w:left w:w="0" w:type="dxa"/>
              <w:bottom w:w="0" w:type="dxa"/>
              <w:right w:w="0" w:type="dxa"/>
            </w:tcMar>
            <w:vAlign w:val="top"/>
            <w:hideMark/>
          </w:tcPr>
          <w:p>
            <w:pPr>
              <w:keepNext/>
              <w:keepLines/>
              <w:spacing w:before="100" w:after="40"/>
              <w:ind w:left="1134" w:right="1134" w:firstLine="0"/>
              <w:jc w:val="center"/>
              <w:rPr>
                <w:rFonts w:ascii="Arial" w:eastAsia="Arial" w:hAnsi="Arial" w:cs="Arial"/>
                <w:b w:val="0"/>
                <w:bCs w:val="0"/>
                <w:i w:val="0"/>
                <w:iCs w:val="0"/>
                <w:smallCaps w:val="0"/>
                <w:color w:val="000000"/>
                <w:sz w:val="24"/>
              </w:rPr>
            </w:pPr>
            <w:r>
              <w:rPr>
                <w:rFonts w:ascii="Arial" w:eastAsia="Arial" w:hAnsi="Arial" w:cs="Arial"/>
                <w:b w:val="0"/>
                <w:bCs w:val="0"/>
                <w:i w:val="0"/>
                <w:iCs w:val="0"/>
                <w:smallCaps w:val="0"/>
                <w:color w:val="000000"/>
                <w:sz w:val="24"/>
              </w:rPr>
              <w:t>Przewodniczący Rady Miejskiej</w:t>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b/>
                <w:i w:val="0"/>
              </w:rPr>
              <w:t>Andrzej Wężyk</w:t>
            </w:r>
          </w:p>
        </w:tc>
      </w:tr>
    </w:tbl>
    <w:p w:rsidR="00A77B3E">
      <w:pPr>
        <w:keepNext/>
        <w:spacing w:before="0" w:after="0"/>
        <w:rPr>
          <w:rFonts w:ascii="Arial" w:eastAsia="Arial" w:hAnsi="Arial" w:cs="Arial"/>
          <w:b w:val="0"/>
          <w:i w:val="0"/>
          <w:caps w:val="0"/>
          <w:strike w:val="0"/>
          <w:color w:val="auto"/>
          <w:sz w:val="24"/>
          <w:u w:val="none"/>
          <w:vertAlign w:val="baseline"/>
        </w:rPr>
      </w:pPr>
    </w:p>
    <w:p w:rsidR="00A77B3E">
      <w:pPr>
        <w:keepNext/>
        <w:spacing w:before="0" w:after="0"/>
        <w:rPr>
          <w:rFonts w:ascii="Arial" w:eastAsia="Arial" w:hAnsi="Arial" w:cs="Arial"/>
          <w:b w:val="0"/>
          <w:i w:val="0"/>
          <w:caps w:val="0"/>
          <w:strike w:val="0"/>
          <w:color w:val="auto"/>
          <w:sz w:val="24"/>
          <w:u w:val="none"/>
          <w:vertAlign w:val="baseline"/>
        </w:rPr>
        <w:sectPr>
          <w:footerReference w:type="default" r:id="rId4"/>
          <w:endnotePr>
            <w:numFmt w:val="decimal"/>
          </w:endnotePr>
          <w:pgSz w:w="11906" w:h="16838"/>
          <w:pgMar w:top="1417" w:right="1020" w:bottom="992" w:left="1020" w:header="708" w:footer="708" w:gutter="0"/>
          <w:cols w:space="708"/>
          <w:docGrid w:linePitch="360"/>
        </w:sectPr>
      </w:pPr>
    </w:p>
    <w:p>
      <w:pPr>
        <w:keepNext w:val="0"/>
        <w:keepLines w:val="0"/>
        <w:widowControl/>
        <w:suppressLineNumbers w:val="0"/>
        <w:shd w:val="clear" w:color="auto" w:fill="auto"/>
        <w:suppressAutoHyphens w:val="0"/>
        <w:spacing w:before="280" w:beforeAutospacing="0" w:after="280" w:afterAutospacing="0" w:line="276" w:lineRule="auto"/>
        <w:ind w:left="4535" w:right="0" w:firstLine="0"/>
        <w:contextualSpacing w:val="0"/>
        <w:rPr>
          <w:rFonts w:eastAsia="Times New Roman" w:cs="Times New Roman"/>
          <w:b/>
          <w:sz w:val="20"/>
          <w:szCs w:val="20"/>
          <w:u w:color="000000"/>
        </w:rPr>
      </w:pPr>
      <w:r>
        <w:rPr>
          <w:rFonts w:eastAsia="Times New Roman" w:cs="Times New Roman"/>
          <w:szCs w:val="20"/>
          <w:u w:color="000000"/>
        </w:rPr>
        <w:t>Załącznik nr 1 do uchwały</w:t>
      </w:r>
      <w:r>
        <w:rPr>
          <w:rFonts w:eastAsia="Times New Roman" w:cs="Times New Roman"/>
          <w:szCs w:val="20"/>
          <w:u w:color="000000"/>
        </w:rPr>
        <w:t xml:space="preserve"> nr XXXVI/331/26</w:t>
      </w:r>
      <w:r>
        <w:rPr>
          <w:rFonts w:eastAsia="Times New Roman" w:cs="Times New Roman"/>
          <w:b/>
          <w:sz w:val="20"/>
          <w:szCs w:val="20"/>
          <w:u w:color="000000"/>
        </w:rPr>
        <w:br/>
      </w:r>
      <w:r>
        <w:rPr>
          <w:rFonts w:eastAsia="Times New Roman" w:cs="Times New Roman"/>
          <w:szCs w:val="20"/>
          <w:u w:color="000000"/>
        </w:rPr>
        <w:t>Rady Miejskiej w Bytomiu</w:t>
      </w:r>
      <w:r>
        <w:rPr>
          <w:rFonts w:eastAsia="Times New Roman" w:cs="Times New Roman"/>
          <w:b/>
          <w:sz w:val="20"/>
          <w:szCs w:val="20"/>
          <w:u w:color="000000"/>
        </w:rPr>
        <w:br/>
      </w:r>
      <w:r>
        <w:rPr>
          <w:szCs w:val="20"/>
          <w:u w:color="000000"/>
        </w:rPr>
        <w:t>z dnia 31 sierpnia 2026 r.</w:t>
      </w:r>
    </w:p>
    <w:p>
      <w:pPr>
        <w:keepNext w:val="0"/>
        <w:keepLines w:val="0"/>
        <w:widowControl/>
        <w:suppressLineNumbers w:val="0"/>
        <w:shd w:val="clear" w:color="auto" w:fill="auto"/>
        <w:suppressAutoHyphens w:val="0"/>
        <w:spacing w:before="360" w:beforeAutospacing="0" w:after="12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PLANOWANY DEFICYT BUDŻETU MIASTA BYTOMIA I ŹRÓDŁA JEGO SFINANSOWANIA W 2026 ROKU</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w złotych</w:t>
      </w:r>
    </w:p>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p>
    <w:tbl>
      <w:tblPr>
        <w:tblStyle w:val="TableNormal"/>
        <w:tblW w:w="0" w:type="auto"/>
        <w:tblInd w:w="55" w:type="dxa"/>
        <w:tblCellMar>
          <w:left w:w="70" w:type="dxa"/>
          <w:right w:w="70" w:type="dxa"/>
        </w:tblCellMar>
        <w:tblLook w:val="04A0"/>
      </w:tblPr>
      <w:tblGrid>
        <w:gridCol w:w="12918"/>
        <w:gridCol w:w="1823"/>
      </w:tblGrid>
      <w:tr>
        <w:tblPrEx>
          <w:tblW w:w="0" w:type="auto"/>
          <w:tblInd w:w="55" w:type="dxa"/>
          <w:tblLook w:val="04A0"/>
        </w:tblPrEx>
        <w:trPr>
          <w:trHeight w:val="540"/>
        </w:trPr>
        <w:tc>
          <w:tcPr>
            <w:tcW w:w="13198" w:type="dxa"/>
            <w:tcBorders>
              <w:top w:val="single" w:sz="4" w:space="0" w:color="000000"/>
              <w:left w:val="single" w:sz="4" w:space="0" w:color="000000"/>
              <w:bottom w:val="single" w:sz="4" w:space="0" w:color="000000"/>
              <w:right w:val="nil"/>
            </w:tcBorders>
            <w:shd w:val="clear" w:color="000000" w:fill="F2F2F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Wyszczególnienie</w:t>
            </w:r>
          </w:p>
        </w:tc>
        <w:tc>
          <w:tcPr>
            <w:tcW w:w="1683" w:type="dxa"/>
            <w:tcBorders>
              <w:top w:val="single" w:sz="4" w:space="0" w:color="000000"/>
              <w:left w:val="single" w:sz="4" w:space="0" w:color="000000"/>
              <w:bottom w:val="single" w:sz="4" w:space="0" w:color="000000"/>
              <w:right w:val="single" w:sz="4" w:space="0" w:color="000000"/>
            </w:tcBorders>
            <w:shd w:val="clear" w:color="000000" w:fill="F2F2F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xml:space="preserve">Kwota </w:t>
            </w:r>
          </w:p>
        </w:tc>
      </w:tr>
      <w:tr>
        <w:tblPrEx>
          <w:tblW w:w="0" w:type="auto"/>
          <w:tblInd w:w="55" w:type="dxa"/>
          <w:tblLook w:val="04A0"/>
        </w:tblPrEx>
        <w:trPr>
          <w:trHeight w:val="255"/>
        </w:trPr>
        <w:tc>
          <w:tcPr>
            <w:tcW w:w="13198" w:type="dxa"/>
            <w:tcBorders>
              <w:top w:val="nil"/>
              <w:left w:val="single" w:sz="4" w:space="0" w:color="000000"/>
              <w:bottom w:val="single" w:sz="4" w:space="0" w:color="000000"/>
              <w:right w:val="single" w:sz="4" w:space="0" w:color="000000"/>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xml:space="preserve">Prognozowane dochody   </w:t>
            </w:r>
          </w:p>
        </w:tc>
        <w:tc>
          <w:tcPr>
            <w:tcW w:w="1683" w:type="dxa"/>
            <w:tcBorders>
              <w:top w:val="nil"/>
              <w:left w:val="nil"/>
              <w:bottom w:val="single" w:sz="4" w:space="0" w:color="000000"/>
              <w:right w:val="single" w:sz="4" w:space="0" w:color="000000"/>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1 475 192 129</w:t>
            </w:r>
          </w:p>
        </w:tc>
      </w:tr>
      <w:tr>
        <w:tblPrEx>
          <w:tblW w:w="0" w:type="auto"/>
          <w:tblInd w:w="55" w:type="dxa"/>
          <w:tblLook w:val="04A0"/>
        </w:tblPrEx>
        <w:trPr>
          <w:trHeight w:val="255"/>
        </w:trPr>
        <w:tc>
          <w:tcPr>
            <w:tcW w:w="13198" w:type="dxa"/>
            <w:tcBorders>
              <w:top w:val="nil"/>
              <w:left w:val="single" w:sz="4" w:space="0" w:color="000000"/>
              <w:bottom w:val="single" w:sz="4" w:space="0" w:color="000000"/>
              <w:right w:val="single" w:sz="4" w:space="0" w:color="000000"/>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xml:space="preserve">Planowane wydatki   </w:t>
            </w:r>
          </w:p>
        </w:tc>
        <w:tc>
          <w:tcPr>
            <w:tcW w:w="1683" w:type="dxa"/>
            <w:tcBorders>
              <w:top w:val="nil"/>
              <w:left w:val="nil"/>
              <w:bottom w:val="single" w:sz="4" w:space="0" w:color="000000"/>
              <w:right w:val="single" w:sz="4" w:space="0" w:color="000000"/>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1 583 987 355</w:t>
            </w:r>
          </w:p>
        </w:tc>
      </w:tr>
      <w:tr>
        <w:tblPrEx>
          <w:tblW w:w="0" w:type="auto"/>
          <w:tblInd w:w="55" w:type="dxa"/>
          <w:tblLook w:val="04A0"/>
        </w:tblPrEx>
        <w:trPr>
          <w:trHeight w:val="255"/>
        </w:trPr>
        <w:tc>
          <w:tcPr>
            <w:tcW w:w="13198" w:type="dxa"/>
            <w:tcBorders>
              <w:top w:val="nil"/>
              <w:left w:val="single" w:sz="4" w:space="0" w:color="000000"/>
              <w:bottom w:val="single" w:sz="4" w:space="0" w:color="000000"/>
              <w:right w:val="single" w:sz="4" w:space="0" w:color="000000"/>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Deficyt</w:t>
            </w:r>
          </w:p>
        </w:tc>
        <w:tc>
          <w:tcPr>
            <w:tcW w:w="1683" w:type="dxa"/>
            <w:tcBorders>
              <w:top w:val="nil"/>
              <w:left w:val="nil"/>
              <w:bottom w:val="single" w:sz="4" w:space="0" w:color="000000"/>
              <w:right w:val="single" w:sz="4" w:space="0" w:color="000000"/>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-108 795 226</w:t>
            </w:r>
          </w:p>
        </w:tc>
      </w:tr>
      <w:tr>
        <w:tblPrEx>
          <w:tblW w:w="0" w:type="auto"/>
          <w:tblInd w:w="55" w:type="dxa"/>
          <w:tblLook w:val="04A0"/>
        </w:tblPrEx>
        <w:trPr>
          <w:trHeight w:val="255"/>
        </w:trPr>
        <w:tc>
          <w:tcPr>
            <w:tcW w:w="13198" w:type="dxa"/>
            <w:tcBorders>
              <w:top w:val="nil"/>
              <w:left w:val="single" w:sz="4" w:space="0" w:color="000000"/>
              <w:bottom w:val="nil"/>
              <w:right w:val="single" w:sz="4" w:space="0" w:color="000000"/>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Źródła sfinansowania deficytu, w tym:</w:t>
            </w:r>
          </w:p>
        </w:tc>
        <w:tc>
          <w:tcPr>
            <w:tcW w:w="1683" w:type="dxa"/>
            <w:tcBorders>
              <w:top w:val="nil"/>
              <w:left w:val="nil"/>
              <w:bottom w:val="nil"/>
              <w:right w:val="single" w:sz="4" w:space="0" w:color="000000"/>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108 795 226</w:t>
            </w:r>
          </w:p>
        </w:tc>
      </w:tr>
      <w:tr>
        <w:tblPrEx>
          <w:tblW w:w="0" w:type="auto"/>
          <w:tblInd w:w="55" w:type="dxa"/>
          <w:tblLook w:val="04A0"/>
        </w:tblPrEx>
        <w:trPr>
          <w:trHeight w:val="255"/>
        </w:trPr>
        <w:tc>
          <w:tcPr>
            <w:tcW w:w="13198" w:type="dxa"/>
            <w:tcBorders>
              <w:top w:val="nil"/>
              <w:left w:val="single" w:sz="4" w:space="0" w:color="000000"/>
              <w:bottom w:val="nil"/>
              <w:right w:val="nil"/>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200"/>
              <w:contextualSpacing w:val="0"/>
              <w:rPr>
                <w:rFonts w:eastAsia="Times New Roman" w:cs="Times New Roman"/>
                <w:sz w:val="20"/>
                <w:szCs w:val="20"/>
                <w:u w:color="000000"/>
              </w:rPr>
            </w:pPr>
            <w:r>
              <w:rPr>
                <w:rFonts w:eastAsia="Times New Roman" w:cs="Times New Roman"/>
                <w:sz w:val="20"/>
                <w:szCs w:val="20"/>
                <w:u w:color="000000"/>
              </w:rPr>
              <w:t>– środki z tytułu pożyczki długoterminowej zaciągniętej na rynku krajowym</w:t>
            </w:r>
          </w:p>
        </w:tc>
        <w:tc>
          <w:tcPr>
            <w:tcW w:w="1683" w:type="dxa"/>
            <w:tcBorders>
              <w:top w:val="nil"/>
              <w:left w:val="single" w:sz="4" w:space="0" w:color="000000"/>
              <w:bottom w:val="nil"/>
              <w:right w:val="single" w:sz="4" w:space="0" w:color="000000"/>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66 908 944</w:t>
            </w:r>
          </w:p>
        </w:tc>
      </w:tr>
      <w:tr>
        <w:tblPrEx>
          <w:tblW w:w="0" w:type="auto"/>
          <w:tblInd w:w="55" w:type="dxa"/>
          <w:tblLook w:val="04A0"/>
        </w:tblPrEx>
        <w:trPr>
          <w:trHeight w:val="255"/>
        </w:trPr>
        <w:tc>
          <w:tcPr>
            <w:tcW w:w="13198" w:type="dxa"/>
            <w:tcBorders>
              <w:top w:val="nil"/>
              <w:left w:val="single" w:sz="4" w:space="0" w:color="000000"/>
              <w:bottom w:val="nil"/>
              <w:right w:val="nil"/>
            </w:tcBorders>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200"/>
              <w:contextualSpacing w:val="0"/>
              <w:rPr>
                <w:rFonts w:eastAsia="Times New Roman" w:cs="Times New Roman"/>
                <w:sz w:val="20"/>
                <w:szCs w:val="20"/>
                <w:u w:color="000000"/>
              </w:rPr>
            </w:pPr>
            <w:r>
              <w:rPr>
                <w:rFonts w:eastAsia="Times New Roman" w:cs="Times New Roman"/>
                <w:sz w:val="20"/>
                <w:szCs w:val="20"/>
                <w:u w:color="000000"/>
              </w:rPr>
              <w:t>– wolne środki, o których mowa w art. 217 ust. 2 pkt 6 ustawy</w:t>
            </w:r>
          </w:p>
        </w:tc>
        <w:tc>
          <w:tcPr>
            <w:tcW w:w="1683" w:type="dxa"/>
            <w:tcBorders>
              <w:top w:val="nil"/>
              <w:left w:val="single" w:sz="4" w:space="0" w:color="000000"/>
              <w:bottom w:val="nil"/>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14 786 580</w:t>
            </w:r>
          </w:p>
        </w:tc>
      </w:tr>
      <w:tr>
        <w:tblPrEx>
          <w:tblW w:w="0" w:type="auto"/>
          <w:tblInd w:w="55" w:type="dxa"/>
          <w:tblLook w:val="04A0"/>
        </w:tblPrEx>
        <w:trPr>
          <w:trHeight w:val="598"/>
        </w:trPr>
        <w:tc>
          <w:tcPr>
            <w:tcW w:w="13198" w:type="dxa"/>
            <w:tcBorders>
              <w:top w:val="nil"/>
              <w:left w:val="single" w:sz="4" w:space="0" w:color="000000"/>
              <w:bottom w:val="single" w:sz="4" w:space="0" w:color="000000"/>
              <w:right w:val="nil"/>
            </w:tcBorders>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200"/>
              <w:contextualSpacing w:val="0"/>
              <w:rPr>
                <w:rFonts w:eastAsia="Times New Roman" w:cs="Times New Roman"/>
                <w:sz w:val="20"/>
                <w:szCs w:val="20"/>
                <w:u w:color="000000"/>
              </w:rPr>
            </w:pPr>
            <w:r>
              <w:rPr>
                <w:rFonts w:eastAsia="Times New Roman" w:cs="Times New Roman"/>
                <w:sz w:val="20"/>
                <w:szCs w:val="20"/>
                <w:u w:color="000000"/>
              </w:rPr>
              <w:t>– środki pieniężne wynikające z rozliczenia dochodów i wydatków nimi finansowanych związanych ze szczególnymi zasadami wykonywania budżetu określonymi w odrębnych ustawach oraz wynikające z rozliczenia środków określonych w art. 5 ust. 1 pkt 2 ustawy i dotacji na realizację programu, projektu lub zadania finansowanego z udziałem tych środków</w:t>
            </w:r>
          </w:p>
        </w:tc>
        <w:tc>
          <w:tcPr>
            <w:tcW w:w="1683" w:type="dxa"/>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27 099 702</w:t>
            </w:r>
          </w:p>
        </w:tc>
      </w:tr>
    </w:tbl>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Cs w:val="20"/>
          <w:u w:color="000000"/>
        </w:rPr>
      </w:pPr>
    </w:p>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Cs w:val="20"/>
          <w:u w:color="000000"/>
        </w:rPr>
        <w:sectPr>
          <w:footerReference w:type="default" r:id="rId5"/>
          <w:endnotePr>
            <w:numFmt w:val="decimal"/>
          </w:endnotePr>
          <w:type w:val="nextPage"/>
          <w:pgSz w:w="16838" w:h="11906" w:orient="landscape" w:code="0"/>
          <w:pgMar w:top="1418" w:right="1021" w:bottom="1021" w:left="1021" w:header="709" w:footer="709" w:gutter="0"/>
          <w:cols w:space="708"/>
        </w:sectPr>
      </w:pPr>
    </w:p>
    <w:p>
      <w:pPr>
        <w:keepNext w:val="0"/>
        <w:keepLines w:val="0"/>
        <w:widowControl/>
        <w:suppressLineNumbers w:val="0"/>
        <w:shd w:val="clear" w:color="auto" w:fill="auto"/>
        <w:suppressAutoHyphens w:val="0"/>
        <w:spacing w:before="280" w:beforeAutospacing="0" w:after="280" w:afterAutospacing="0" w:line="276" w:lineRule="auto"/>
        <w:ind w:left="4535" w:right="0" w:firstLine="0"/>
        <w:contextualSpacing w:val="0"/>
        <w:rPr>
          <w:rFonts w:eastAsia="Times New Roman" w:cs="Times New Roman"/>
          <w:b/>
          <w:sz w:val="20"/>
          <w:szCs w:val="20"/>
          <w:u w:color="000000"/>
        </w:rPr>
      </w:pPr>
      <w:r>
        <w:rPr>
          <w:rFonts w:eastAsia="Times New Roman" w:cs="Times New Roman"/>
          <w:szCs w:val="20"/>
          <w:u w:color="000000"/>
        </w:rPr>
        <w:t>Załącznik nr 2 do uchwały</w:t>
      </w:r>
      <w:r>
        <w:rPr>
          <w:rFonts w:eastAsia="Times New Roman" w:cs="Times New Roman"/>
          <w:szCs w:val="20"/>
          <w:u w:color="000000"/>
        </w:rPr>
        <w:t xml:space="preserve"> nr XXXVI/331/26</w:t>
      </w:r>
      <w:r>
        <w:rPr>
          <w:rFonts w:eastAsia="Times New Roman" w:cs="Times New Roman"/>
          <w:b/>
          <w:sz w:val="20"/>
          <w:szCs w:val="20"/>
          <w:u w:color="000000"/>
        </w:rPr>
        <w:br/>
      </w:r>
      <w:r>
        <w:rPr>
          <w:rFonts w:eastAsia="Times New Roman" w:cs="Times New Roman"/>
          <w:szCs w:val="20"/>
          <w:u w:color="000000"/>
        </w:rPr>
        <w:t>Rady Miejskiej w Bytomiu</w:t>
      </w:r>
      <w:r>
        <w:rPr>
          <w:rFonts w:eastAsia="Times New Roman" w:cs="Times New Roman"/>
          <w:b/>
          <w:sz w:val="20"/>
          <w:szCs w:val="20"/>
          <w:u w:color="000000"/>
        </w:rPr>
        <w:br/>
      </w:r>
      <w:r>
        <w:rPr>
          <w:szCs w:val="20"/>
          <w:u w:color="000000"/>
        </w:rPr>
        <w:t>z dnia 31 sierpnia 2026 r.</w:t>
      </w:r>
    </w:p>
    <w:p>
      <w:pPr>
        <w:keepNext w:val="0"/>
        <w:keepLines w:val="0"/>
        <w:widowControl/>
        <w:suppressLineNumbers w:val="0"/>
        <w:shd w:val="clear" w:color="auto" w:fill="auto"/>
        <w:suppressAutoHyphens w:val="0"/>
        <w:spacing w:before="360" w:beforeAutospacing="0" w:after="12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PLAN PRZYCHODÓW NA 2026 ROK</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w złotych</w:t>
      </w:r>
    </w:p>
    <w:tbl>
      <w:tblPr>
        <w:tblStyle w:val="TableNormal"/>
        <w:tblW w:w="0" w:type="auto"/>
        <w:tblInd w:w="55" w:type="dxa"/>
        <w:tblCellMar>
          <w:left w:w="70" w:type="dxa"/>
          <w:right w:w="70" w:type="dxa"/>
        </w:tblCellMar>
        <w:tblLook w:val="04A0"/>
      </w:tblPr>
      <w:tblGrid>
        <w:gridCol w:w="12870"/>
        <w:gridCol w:w="1871"/>
      </w:tblGrid>
      <w:tr>
        <w:tblPrEx>
          <w:tblW w:w="0" w:type="auto"/>
          <w:tblInd w:w="55" w:type="dxa"/>
          <w:tblLook w:val="04A0"/>
        </w:tblPrEx>
        <w:trPr>
          <w:cantSplit/>
          <w:trHeight w:val="454"/>
        </w:trPr>
        <w:tc>
          <w:tcPr>
            <w:tcW w:w="13121" w:type="dxa"/>
            <w:tcBorders>
              <w:top w:val="single" w:sz="4" w:space="0" w:color="auto"/>
              <w:left w:val="single" w:sz="4" w:space="0" w:color="auto"/>
              <w:bottom w:val="single" w:sz="4" w:space="0" w:color="auto"/>
              <w:right w:val="single" w:sz="4" w:space="0" w:color="auto"/>
            </w:tcBorders>
            <w:shd w:val="clear" w:color="auto" w:fill="F2F2F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Wyszczególnienie</w:t>
            </w:r>
          </w:p>
        </w:tc>
        <w:tc>
          <w:tcPr>
            <w:tcW w:w="1760" w:type="dxa"/>
            <w:tcBorders>
              <w:top w:val="single" w:sz="4" w:space="0" w:color="auto"/>
              <w:left w:val="nil"/>
              <w:bottom w:val="single" w:sz="4" w:space="0" w:color="auto"/>
              <w:right w:val="single" w:sz="4" w:space="0" w:color="auto"/>
            </w:tcBorders>
            <w:shd w:val="clear" w:color="auto" w:fill="F2F2F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Kwota</w:t>
            </w:r>
          </w:p>
        </w:tc>
      </w:tr>
      <w:tr>
        <w:tblPrEx>
          <w:tblW w:w="0" w:type="auto"/>
          <w:tblInd w:w="55" w:type="dxa"/>
          <w:tblLook w:val="04A0"/>
        </w:tblPrEx>
        <w:trPr>
          <w:cantSplit/>
          <w:trHeight w:val="454"/>
        </w:trPr>
        <w:tc>
          <w:tcPr>
            <w:tcW w:w="13121" w:type="dxa"/>
            <w:tcBorders>
              <w:top w:val="nil"/>
              <w:left w:val="single" w:sz="4" w:space="0" w:color="auto"/>
              <w:bottom w:val="single" w:sz="4" w:space="0" w:color="auto"/>
              <w:right w:val="single" w:sz="4" w:space="0" w:color="auto"/>
            </w:tcBorders>
            <w:shd w:val="clear" w:color="auto" w:fill="F2F2F2"/>
            <w:vAlign w:val="bottom"/>
            <w:hideMark/>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b/>
                <w:sz w:val="20"/>
                <w:szCs w:val="20"/>
                <w:u w:color="000000"/>
              </w:rPr>
            </w:pPr>
            <w:r>
              <w:rPr>
                <w:rFonts w:eastAsia="Times New Roman" w:cs="Times New Roman"/>
                <w:b/>
                <w:sz w:val="20"/>
                <w:szCs w:val="20"/>
                <w:u w:color="000000"/>
              </w:rPr>
              <w:t>Razem</w:t>
            </w:r>
          </w:p>
        </w:tc>
        <w:tc>
          <w:tcPr>
            <w:tcW w:w="1760" w:type="dxa"/>
            <w:tcBorders>
              <w:top w:val="nil"/>
              <w:left w:val="nil"/>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b/>
                <w:sz w:val="20"/>
                <w:szCs w:val="20"/>
                <w:u w:color="000000"/>
              </w:rPr>
            </w:pPr>
            <w:r>
              <w:rPr>
                <w:rFonts w:eastAsia="Times New Roman" w:cs="Times New Roman"/>
                <w:b/>
                <w:sz w:val="20"/>
                <w:szCs w:val="20"/>
                <w:u w:color="000000"/>
              </w:rPr>
              <w:t>325 211 864</w:t>
            </w:r>
          </w:p>
        </w:tc>
      </w:tr>
      <w:tr>
        <w:tblPrEx>
          <w:tblW w:w="0" w:type="auto"/>
          <w:tblInd w:w="55" w:type="dxa"/>
          <w:tblLook w:val="04A0"/>
        </w:tblPrEx>
        <w:trPr>
          <w:cantSplit/>
          <w:trHeight w:val="227"/>
        </w:trPr>
        <w:tc>
          <w:tcPr>
            <w:tcW w:w="13121" w:type="dxa"/>
            <w:tcBorders>
              <w:top w:val="nil"/>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680" w:right="0" w:hanging="680"/>
              <w:contextualSpacing w:val="0"/>
              <w:rPr>
                <w:rFonts w:eastAsia="Times New Roman" w:cs="Times New Roman"/>
                <w:color w:val="000000"/>
                <w:sz w:val="20"/>
                <w:szCs w:val="20"/>
                <w:u w:color="000000"/>
              </w:rPr>
            </w:pPr>
            <w:r>
              <w:rPr>
                <w:rFonts w:eastAsia="Times New Roman" w:cs="Times New Roman"/>
                <w:color w:val="000000"/>
                <w:sz w:val="20"/>
                <w:szCs w:val="20"/>
                <w:u w:color="000000"/>
              </w:rPr>
              <w:t>§ 905 – Przychody jednostek samorządu terytorialnego z niewykorzystanych środków pieniężnych na rachunku bieżącym budżetu, wynikających z rozliczenia dochodów i wydatków nimi finansowanych związanych ze szczególnymi zasadami wykonywania budżetu określonymi w odrębnych ustawach</w:t>
            </w:r>
          </w:p>
        </w:tc>
        <w:tc>
          <w:tcPr>
            <w:tcW w:w="17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sz w:val="20"/>
                <w:szCs w:val="20"/>
                <w:u w:color="000000"/>
              </w:rPr>
            </w:pPr>
            <w:r>
              <w:rPr>
                <w:rFonts w:eastAsia="Times New Roman" w:cs="Times New Roman"/>
                <w:sz w:val="20"/>
                <w:szCs w:val="20"/>
                <w:u w:color="000000"/>
              </w:rPr>
              <w:t>13 840 173</w:t>
            </w:r>
          </w:p>
        </w:tc>
      </w:tr>
      <w:tr>
        <w:tblPrEx>
          <w:tblW w:w="0" w:type="auto"/>
          <w:tblInd w:w="55" w:type="dxa"/>
          <w:tblLook w:val="04A0"/>
        </w:tblPrEx>
        <w:trPr>
          <w:cantSplit/>
          <w:trHeight w:val="227"/>
        </w:trPr>
        <w:tc>
          <w:tcPr>
            <w:tcW w:w="13121" w:type="dxa"/>
            <w:tcBorders>
              <w:top w:val="nil"/>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680" w:right="0" w:hanging="680"/>
              <w:contextualSpacing w:val="0"/>
              <w:rPr>
                <w:rFonts w:eastAsia="Times New Roman" w:cs="Times New Roman"/>
                <w:color w:val="000000"/>
                <w:sz w:val="20"/>
                <w:szCs w:val="20"/>
                <w:u w:color="000000"/>
              </w:rPr>
            </w:pPr>
            <w:r>
              <w:rPr>
                <w:rFonts w:eastAsia="Times New Roman" w:cs="Times New Roman"/>
                <w:color w:val="000000"/>
                <w:sz w:val="20"/>
                <w:szCs w:val="20"/>
                <w:u w:color="000000"/>
              </w:rPr>
              <w:t>§ 906 – Przychody jednostek samorządu terytorialnego z wynikających z rozliczenia środków określonych w art. 5 ust. 1 pkt 2 ustawy i dotacji na realizację programu, projektu lub zadania finansowanego z udziałem tych środków</w:t>
            </w:r>
          </w:p>
        </w:tc>
        <w:tc>
          <w:tcPr>
            <w:tcW w:w="17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sz w:val="20"/>
                <w:szCs w:val="20"/>
                <w:u w:color="000000"/>
              </w:rPr>
            </w:pPr>
            <w:r>
              <w:rPr>
                <w:rFonts w:eastAsia="Times New Roman" w:cs="Times New Roman"/>
                <w:sz w:val="20"/>
                <w:szCs w:val="20"/>
                <w:u w:color="000000"/>
              </w:rPr>
              <w:t>13 259 529</w:t>
            </w:r>
          </w:p>
        </w:tc>
      </w:tr>
      <w:tr>
        <w:tblPrEx>
          <w:tblW w:w="0" w:type="auto"/>
          <w:tblInd w:w="55" w:type="dxa"/>
          <w:tblLook w:val="04A0"/>
        </w:tblPrEx>
        <w:trPr>
          <w:cantSplit/>
          <w:trHeight w:val="227"/>
        </w:trPr>
        <w:tc>
          <w:tcPr>
            <w:tcW w:w="13121" w:type="dxa"/>
            <w:tcBorders>
              <w:top w:val="nil"/>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680" w:right="0" w:hanging="680"/>
              <w:contextualSpacing w:val="0"/>
              <w:rPr>
                <w:rFonts w:eastAsia="Times New Roman" w:cs="Times New Roman"/>
                <w:color w:val="000000"/>
                <w:sz w:val="20"/>
                <w:szCs w:val="20"/>
                <w:u w:color="000000"/>
              </w:rPr>
            </w:pPr>
            <w:r>
              <w:rPr>
                <w:rFonts w:eastAsia="Times New Roman" w:cs="Times New Roman"/>
                <w:color w:val="000000"/>
                <w:sz w:val="20"/>
                <w:szCs w:val="20"/>
                <w:u w:color="000000"/>
              </w:rPr>
              <w:t>§ 907 – Przychody jednostek samorządu terytorialnego z tytułu zaciągniętych pożyczek i kredytów oraz wyemitowanych papierów wartościowych na spłatę wcześniej zaciągniętych zobowiązań</w:t>
            </w:r>
          </w:p>
        </w:tc>
        <w:tc>
          <w:tcPr>
            <w:tcW w:w="17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sz w:val="20"/>
                <w:szCs w:val="20"/>
                <w:u w:color="000000"/>
              </w:rPr>
            </w:pPr>
            <w:r>
              <w:rPr>
                <w:rFonts w:eastAsia="Times New Roman" w:cs="Times New Roman"/>
                <w:sz w:val="20"/>
                <w:szCs w:val="20"/>
                <w:u w:color="000000"/>
              </w:rPr>
              <w:t>183 325 582</w:t>
            </w:r>
          </w:p>
        </w:tc>
      </w:tr>
      <w:tr>
        <w:tblPrEx>
          <w:tblW w:w="0" w:type="auto"/>
          <w:tblInd w:w="55" w:type="dxa"/>
          <w:tblLook w:val="04A0"/>
        </w:tblPrEx>
        <w:trPr>
          <w:cantSplit/>
          <w:trHeight w:val="227"/>
        </w:trPr>
        <w:tc>
          <w:tcPr>
            <w:tcW w:w="13121" w:type="dxa"/>
            <w:tcBorders>
              <w:top w:val="nil"/>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color w:val="000000"/>
                <w:sz w:val="20"/>
                <w:szCs w:val="20"/>
                <w:u w:color="000000"/>
              </w:rPr>
            </w:pPr>
            <w:r>
              <w:rPr>
                <w:rFonts w:eastAsia="Times New Roman" w:cs="Times New Roman"/>
                <w:color w:val="000000"/>
                <w:sz w:val="20"/>
                <w:szCs w:val="20"/>
                <w:u w:color="000000"/>
              </w:rPr>
              <w:t>§ 950 – Wolne środki, o których mowa w art. 217 ust. 2 pkt 6 ustawy</w:t>
            </w:r>
          </w:p>
        </w:tc>
        <w:tc>
          <w:tcPr>
            <w:tcW w:w="17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sz w:val="20"/>
                <w:szCs w:val="20"/>
                <w:u w:color="000000"/>
              </w:rPr>
            </w:pPr>
            <w:r>
              <w:rPr>
                <w:rFonts w:eastAsia="Times New Roman" w:cs="Times New Roman"/>
                <w:sz w:val="20"/>
                <w:szCs w:val="20"/>
                <w:u w:color="000000"/>
              </w:rPr>
              <w:t>14 786 580</w:t>
            </w:r>
          </w:p>
        </w:tc>
      </w:tr>
      <w:tr>
        <w:tblPrEx>
          <w:tblW w:w="0" w:type="auto"/>
          <w:tblInd w:w="55" w:type="dxa"/>
          <w:tblLook w:val="04A0"/>
        </w:tblPrEx>
        <w:trPr>
          <w:cantSplit/>
          <w:trHeight w:val="227"/>
        </w:trPr>
        <w:tc>
          <w:tcPr>
            <w:tcW w:w="13121" w:type="dxa"/>
            <w:tcBorders>
              <w:top w:val="nil"/>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color w:val="000000"/>
                <w:sz w:val="20"/>
                <w:szCs w:val="20"/>
                <w:u w:color="000000"/>
              </w:rPr>
            </w:pPr>
            <w:r>
              <w:rPr>
                <w:rFonts w:eastAsia="Times New Roman" w:cs="Times New Roman"/>
                <w:color w:val="000000"/>
                <w:sz w:val="20"/>
                <w:szCs w:val="20"/>
                <w:u w:color="000000"/>
              </w:rPr>
              <w:t>§ 952 – Przychody z zaciągniętych pożyczek i kredytów na rynku krajowym</w:t>
            </w:r>
          </w:p>
        </w:tc>
        <w:tc>
          <w:tcPr>
            <w:tcW w:w="17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sz w:val="20"/>
                <w:szCs w:val="20"/>
                <w:u w:color="000000"/>
              </w:rPr>
            </w:pPr>
            <w:r>
              <w:rPr>
                <w:rFonts w:eastAsia="Times New Roman" w:cs="Times New Roman"/>
                <w:sz w:val="20"/>
                <w:szCs w:val="20"/>
                <w:u w:color="000000"/>
              </w:rPr>
              <w:t>100 000 000</w:t>
            </w:r>
          </w:p>
        </w:tc>
      </w:tr>
    </w:tbl>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p>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sectPr>
          <w:footerReference w:type="default" r:id="rId6"/>
          <w:endnotePr>
            <w:numFmt w:val="decimal"/>
          </w:endnotePr>
          <w:type w:val="nextPage"/>
          <w:pgSz w:w="16838" w:h="11906" w:orient="landscape" w:code="0"/>
          <w:pgMar w:top="1418" w:right="1021" w:bottom="1021" w:left="1021" w:header="709" w:footer="709" w:gutter="0"/>
          <w:cols w:space="708"/>
        </w:sectPr>
      </w:pPr>
    </w:p>
    <w:p>
      <w:pPr>
        <w:keepNext w:val="0"/>
        <w:keepLines w:val="0"/>
        <w:widowControl/>
        <w:suppressLineNumbers w:val="0"/>
        <w:shd w:val="clear" w:color="auto" w:fill="auto"/>
        <w:suppressAutoHyphens w:val="0"/>
        <w:spacing w:before="280" w:beforeAutospacing="0" w:after="280" w:afterAutospacing="0" w:line="276" w:lineRule="auto"/>
        <w:ind w:left="4535" w:right="0" w:firstLine="0"/>
        <w:contextualSpacing w:val="0"/>
        <w:rPr>
          <w:rFonts w:eastAsia="Times New Roman" w:cs="Times New Roman"/>
          <w:b/>
          <w:sz w:val="20"/>
          <w:szCs w:val="20"/>
          <w:u w:color="000000"/>
        </w:rPr>
      </w:pPr>
      <w:r>
        <w:rPr>
          <w:rFonts w:eastAsia="Times New Roman" w:cs="Times New Roman"/>
          <w:szCs w:val="20"/>
          <w:u w:color="000000"/>
        </w:rPr>
        <w:t>Załącznik nr 3 do uchwały</w:t>
      </w:r>
      <w:r>
        <w:rPr>
          <w:rFonts w:eastAsia="Times New Roman" w:cs="Times New Roman"/>
          <w:szCs w:val="20"/>
          <w:u w:color="000000"/>
        </w:rPr>
        <w:t xml:space="preserve"> nr XXXVI/331/26</w:t>
      </w:r>
      <w:r>
        <w:rPr>
          <w:rFonts w:eastAsia="Times New Roman" w:cs="Times New Roman"/>
          <w:b/>
          <w:sz w:val="20"/>
          <w:szCs w:val="20"/>
          <w:u w:color="000000"/>
        </w:rPr>
        <w:br/>
      </w:r>
      <w:r>
        <w:rPr>
          <w:rFonts w:eastAsia="Times New Roman" w:cs="Times New Roman"/>
          <w:szCs w:val="20"/>
          <w:u w:color="000000"/>
        </w:rPr>
        <w:t>Rady Miejskiej w Bytomiu</w:t>
      </w:r>
      <w:r>
        <w:rPr>
          <w:rFonts w:eastAsia="Times New Roman" w:cs="Times New Roman"/>
          <w:b/>
          <w:sz w:val="20"/>
          <w:szCs w:val="20"/>
          <w:u w:color="000000"/>
        </w:rPr>
        <w:br/>
      </w:r>
      <w:r>
        <w:rPr>
          <w:szCs w:val="20"/>
          <w:u w:color="000000"/>
        </w:rPr>
        <w:t>z dnia 31 sierpnia 2026 r.</w:t>
      </w:r>
    </w:p>
    <w:p>
      <w:pPr>
        <w:keepNext w:val="0"/>
        <w:keepLines w:val="0"/>
        <w:widowControl/>
        <w:suppressLineNumbers w:val="0"/>
        <w:shd w:val="clear" w:color="auto" w:fill="auto"/>
        <w:suppressAutoHyphens w:val="0"/>
        <w:spacing w:before="360" w:beforeAutospacing="0" w:after="12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PLAN ROZCHODÓW NA 2026 ROK</w:t>
      </w: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w złotych</w:t>
      </w:r>
    </w:p>
    <w:tbl>
      <w:tblPr>
        <w:tblStyle w:val="TableNormal"/>
        <w:tblW w:w="0" w:type="auto"/>
        <w:tblInd w:w="55" w:type="dxa"/>
        <w:tblCellMar>
          <w:left w:w="70" w:type="dxa"/>
          <w:right w:w="70" w:type="dxa"/>
        </w:tblCellMar>
        <w:tblLook w:val="04A0"/>
      </w:tblPr>
      <w:tblGrid>
        <w:gridCol w:w="12880"/>
        <w:gridCol w:w="1861"/>
      </w:tblGrid>
      <w:tr>
        <w:tblPrEx>
          <w:tblW w:w="0" w:type="auto"/>
          <w:tblInd w:w="55" w:type="dxa"/>
          <w:tblLook w:val="04A0"/>
        </w:tblPrEx>
        <w:trPr>
          <w:cantSplit/>
          <w:trHeight w:val="454"/>
        </w:trPr>
        <w:tc>
          <w:tcPr>
            <w:tcW w:w="13121" w:type="dxa"/>
            <w:tcBorders>
              <w:top w:val="single" w:sz="4" w:space="0" w:color="auto"/>
              <w:left w:val="single" w:sz="4" w:space="0" w:color="auto"/>
              <w:bottom w:val="single" w:sz="4" w:space="0" w:color="auto"/>
              <w:right w:val="single" w:sz="4" w:space="0" w:color="auto"/>
            </w:tcBorders>
            <w:shd w:val="clear" w:color="auto" w:fill="F2F2F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Wyszczególnienie</w:t>
            </w:r>
          </w:p>
        </w:tc>
        <w:tc>
          <w:tcPr>
            <w:tcW w:w="1760" w:type="dxa"/>
            <w:tcBorders>
              <w:top w:val="single" w:sz="4" w:space="0" w:color="auto"/>
              <w:left w:val="nil"/>
              <w:bottom w:val="single" w:sz="4" w:space="0" w:color="auto"/>
              <w:right w:val="single" w:sz="4" w:space="0" w:color="auto"/>
            </w:tcBorders>
            <w:shd w:val="clear" w:color="auto" w:fill="F2F2F2"/>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Kwota</w:t>
            </w:r>
          </w:p>
        </w:tc>
      </w:tr>
      <w:tr>
        <w:tblPrEx>
          <w:tblW w:w="0" w:type="auto"/>
          <w:tblInd w:w="55" w:type="dxa"/>
          <w:tblLook w:val="04A0"/>
        </w:tblPrEx>
        <w:trPr>
          <w:cantSplit/>
          <w:trHeight w:val="454"/>
        </w:trPr>
        <w:tc>
          <w:tcPr>
            <w:tcW w:w="13121" w:type="dxa"/>
            <w:tcBorders>
              <w:top w:val="nil"/>
              <w:left w:val="single" w:sz="4" w:space="0" w:color="auto"/>
              <w:bottom w:val="single" w:sz="4" w:space="0" w:color="auto"/>
              <w:right w:val="single" w:sz="4" w:space="0" w:color="auto"/>
            </w:tcBorders>
            <w:shd w:val="clear" w:color="auto" w:fill="F2F2F2"/>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color w:val="000000"/>
                <w:sz w:val="20"/>
                <w:szCs w:val="20"/>
                <w:u w:color="000000"/>
              </w:rPr>
            </w:pPr>
            <w:r>
              <w:rPr>
                <w:rFonts w:eastAsia="Times New Roman" w:cs="Times New Roman"/>
                <w:b/>
                <w:color w:val="000000"/>
                <w:sz w:val="20"/>
                <w:szCs w:val="20"/>
                <w:u w:color="000000"/>
              </w:rPr>
              <w:t>Razem</w:t>
            </w:r>
          </w:p>
        </w:tc>
        <w:tc>
          <w:tcPr>
            <w:tcW w:w="1760" w:type="dxa"/>
            <w:tcBorders>
              <w:top w:val="nil"/>
              <w:left w:val="nil"/>
              <w:bottom w:val="single" w:sz="4" w:space="0" w:color="auto"/>
              <w:right w:val="single" w:sz="4" w:space="0" w:color="auto"/>
            </w:tcBorders>
            <w:shd w:val="clear" w:color="auto"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216 416 638</w:t>
            </w:r>
          </w:p>
        </w:tc>
      </w:tr>
      <w:tr>
        <w:tblPrEx>
          <w:tblW w:w="0" w:type="auto"/>
          <w:tblInd w:w="55" w:type="dxa"/>
          <w:tblLook w:val="04A0"/>
        </w:tblPrEx>
        <w:trPr>
          <w:cantSplit/>
          <w:trHeight w:val="227"/>
        </w:trPr>
        <w:tc>
          <w:tcPr>
            <w:tcW w:w="13121" w:type="dxa"/>
            <w:tcBorders>
              <w:top w:val="nil"/>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color w:val="000000"/>
                <w:sz w:val="20"/>
                <w:szCs w:val="20"/>
                <w:u w:color="000000"/>
              </w:rPr>
            </w:pPr>
            <w:r>
              <w:rPr>
                <w:rFonts w:eastAsia="Times New Roman" w:cs="Times New Roman"/>
                <w:color w:val="000000"/>
                <w:sz w:val="20"/>
                <w:szCs w:val="20"/>
                <w:u w:color="000000"/>
              </w:rPr>
              <w:t>§ 965 – Wcześniejsza spłata istniejącego długu jednostek samorządu terytorialnego</w:t>
            </w:r>
          </w:p>
        </w:tc>
        <w:tc>
          <w:tcPr>
            <w:tcW w:w="17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183 325 582</w:t>
            </w:r>
          </w:p>
        </w:tc>
      </w:tr>
      <w:tr>
        <w:tblPrEx>
          <w:tblW w:w="0" w:type="auto"/>
          <w:tblInd w:w="55" w:type="dxa"/>
          <w:tblLook w:val="04A0"/>
        </w:tblPrEx>
        <w:trPr>
          <w:cantSplit/>
          <w:trHeight w:val="227"/>
        </w:trPr>
        <w:tc>
          <w:tcPr>
            <w:tcW w:w="13121" w:type="dxa"/>
            <w:tcBorders>
              <w:top w:val="nil"/>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color w:val="000000"/>
                <w:sz w:val="20"/>
                <w:szCs w:val="20"/>
                <w:u w:color="000000"/>
              </w:rPr>
            </w:pPr>
            <w:r>
              <w:rPr>
                <w:rFonts w:eastAsia="Times New Roman" w:cs="Times New Roman"/>
                <w:color w:val="000000"/>
                <w:sz w:val="20"/>
                <w:szCs w:val="20"/>
                <w:u w:color="000000"/>
              </w:rPr>
              <w:t>§ 982 – Wykup innych papierów wartościowych</w:t>
            </w:r>
          </w:p>
        </w:tc>
        <w:tc>
          <w:tcPr>
            <w:tcW w:w="17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23 500 000</w:t>
            </w:r>
          </w:p>
        </w:tc>
      </w:tr>
      <w:tr>
        <w:tblPrEx>
          <w:tblW w:w="0" w:type="auto"/>
          <w:tblInd w:w="55" w:type="dxa"/>
          <w:tblLook w:val="04A0"/>
        </w:tblPrEx>
        <w:trPr>
          <w:cantSplit/>
          <w:trHeight w:val="227"/>
        </w:trPr>
        <w:tc>
          <w:tcPr>
            <w:tcW w:w="13121" w:type="dxa"/>
            <w:tcBorders>
              <w:top w:val="nil"/>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color w:val="000000"/>
                <w:sz w:val="20"/>
                <w:szCs w:val="20"/>
                <w:u w:color="000000"/>
              </w:rPr>
            </w:pPr>
            <w:r>
              <w:rPr>
                <w:rFonts w:eastAsia="Times New Roman" w:cs="Times New Roman"/>
                <w:color w:val="000000"/>
                <w:sz w:val="20"/>
                <w:szCs w:val="20"/>
                <w:u w:color="000000"/>
              </w:rPr>
              <w:t>§ 992 – Spłaty otrzymanych krajowych pożyczek i kredytów</w:t>
            </w:r>
          </w:p>
        </w:tc>
        <w:tc>
          <w:tcPr>
            <w:tcW w:w="17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1 684 079</w:t>
            </w:r>
          </w:p>
        </w:tc>
      </w:tr>
      <w:tr>
        <w:tblPrEx>
          <w:tblW w:w="0" w:type="auto"/>
          <w:tblInd w:w="55" w:type="dxa"/>
          <w:tblLook w:val="04A0"/>
        </w:tblPrEx>
        <w:trPr>
          <w:cantSplit/>
          <w:trHeight w:val="227"/>
        </w:trPr>
        <w:tc>
          <w:tcPr>
            <w:tcW w:w="13121" w:type="dxa"/>
            <w:tcBorders>
              <w:top w:val="nil"/>
              <w:left w:val="single" w:sz="4" w:space="0" w:color="auto"/>
              <w:bottom w:val="single" w:sz="4" w:space="0" w:color="auto"/>
              <w:right w:val="single" w:sz="4" w:space="0" w:color="auto"/>
            </w:tcBorders>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color w:val="000000"/>
                <w:sz w:val="20"/>
                <w:szCs w:val="20"/>
                <w:u w:color="000000"/>
              </w:rPr>
            </w:pPr>
            <w:r>
              <w:rPr>
                <w:rFonts w:eastAsia="Times New Roman" w:cs="Times New Roman"/>
                <w:color w:val="000000"/>
                <w:sz w:val="20"/>
                <w:szCs w:val="20"/>
                <w:u w:color="000000"/>
              </w:rPr>
              <w:t>§ 993 – Spłaty otrzymanych zagranicznych pożyczek i kredytów</w:t>
            </w:r>
          </w:p>
        </w:tc>
        <w:tc>
          <w:tcPr>
            <w:tcW w:w="1760" w:type="dxa"/>
            <w:tcBorders>
              <w:top w:val="nil"/>
              <w:left w:val="nil"/>
              <w:bottom w:val="single" w:sz="4" w:space="0" w:color="auto"/>
              <w:right w:val="single" w:sz="4" w:space="0" w:color="auto"/>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7 906 977</w:t>
            </w:r>
          </w:p>
        </w:tc>
      </w:tr>
    </w:tbl>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p>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sectPr>
          <w:footerReference w:type="default" r:id="rId7"/>
          <w:endnotePr>
            <w:numFmt w:val="decimal"/>
          </w:endnotePr>
          <w:type w:val="nextPage"/>
          <w:pgSz w:w="16838" w:h="11906" w:orient="landscape" w:code="0"/>
          <w:pgMar w:top="1418" w:right="1021" w:bottom="1021" w:left="1021" w:header="709" w:footer="709" w:gutter="0"/>
          <w:cols w:space="708"/>
        </w:sectPr>
      </w:pPr>
    </w:p>
    <w:p>
      <w:pPr>
        <w:keepNext w:val="0"/>
        <w:keepLines w:val="0"/>
        <w:widowControl/>
        <w:suppressLineNumbers w:val="0"/>
        <w:shd w:val="clear" w:color="auto" w:fill="auto"/>
        <w:suppressAutoHyphens w:val="0"/>
        <w:spacing w:before="280" w:beforeAutospacing="0" w:after="280" w:afterAutospacing="0" w:line="276" w:lineRule="auto"/>
        <w:ind w:left="4535" w:right="0" w:firstLine="0"/>
        <w:contextualSpacing w:val="0"/>
        <w:rPr>
          <w:rFonts w:eastAsia="Times New Roman" w:cs="Times New Roman"/>
          <w:b/>
          <w:sz w:val="20"/>
          <w:szCs w:val="20"/>
          <w:u w:color="000000"/>
        </w:rPr>
      </w:pPr>
      <w:r>
        <w:rPr>
          <w:rFonts w:eastAsia="Times New Roman" w:cs="Times New Roman"/>
          <w:szCs w:val="20"/>
          <w:u w:color="000000"/>
        </w:rPr>
        <w:t>Załącznik nr 4 do uchwały</w:t>
      </w:r>
      <w:r>
        <w:rPr>
          <w:rFonts w:eastAsia="Times New Roman" w:cs="Times New Roman"/>
          <w:szCs w:val="20"/>
          <w:u w:color="000000"/>
        </w:rPr>
        <w:t xml:space="preserve"> nr XXXVI/331/26</w:t>
      </w:r>
      <w:r>
        <w:rPr>
          <w:rFonts w:eastAsia="Times New Roman" w:cs="Times New Roman"/>
          <w:b/>
          <w:sz w:val="20"/>
          <w:szCs w:val="20"/>
          <w:u w:color="000000"/>
        </w:rPr>
        <w:br/>
      </w:r>
      <w:r>
        <w:rPr>
          <w:rFonts w:eastAsia="Times New Roman" w:cs="Times New Roman"/>
          <w:szCs w:val="20"/>
          <w:u w:color="000000"/>
        </w:rPr>
        <w:t>Rady Miejskiej w Bytomiu</w:t>
      </w:r>
      <w:r>
        <w:rPr>
          <w:rFonts w:eastAsia="Times New Roman" w:cs="Times New Roman"/>
          <w:b/>
          <w:sz w:val="20"/>
          <w:szCs w:val="20"/>
          <w:u w:color="000000"/>
        </w:rPr>
        <w:br/>
      </w:r>
      <w:r>
        <w:rPr>
          <w:szCs w:val="20"/>
          <w:u w:color="000000"/>
        </w:rPr>
        <w:t>z dnia 31 sierpnia 2026 r.</w:t>
      </w:r>
    </w:p>
    <w:p>
      <w:pPr>
        <w:keepNext w:val="0"/>
        <w:keepLines w:val="0"/>
        <w:widowControl/>
        <w:suppressLineNumbers w:val="0"/>
        <w:shd w:val="clear" w:color="auto" w:fill="auto"/>
        <w:suppressAutoHyphens w:val="0"/>
        <w:spacing w:before="360" w:beforeAutospacing="0" w:after="12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ZESTAWIENIE DOTACJI PLANOWANYCH DO UDZIELENIA Z BUDŻETU MIASTA W 2026 ROKU</w:t>
      </w:r>
    </w:p>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sz w:val="20"/>
          <w:szCs w:val="20"/>
          <w:u w:color="000000"/>
        </w:rPr>
      </w:pPr>
      <w:r>
        <w:rPr>
          <w:rFonts w:eastAsia="Times New Roman" w:cs="Times New Roman"/>
          <w:sz w:val="20"/>
          <w:szCs w:val="20"/>
          <w:u w:color="000000"/>
        </w:rPr>
        <w:t>w złotych</w:t>
      </w:r>
    </w:p>
    <w:tbl>
      <w:tblPr>
        <w:tblStyle w:val="TableNormal"/>
        <w:tblW w:w="0" w:type="auto"/>
        <w:tblInd w:w="55" w:type="dxa"/>
        <w:tblBorders>
          <w:insideH w:val="nil"/>
          <w:insideV w:val="nil"/>
        </w:tblBorders>
        <w:tblCellMar>
          <w:left w:w="70" w:type="dxa"/>
          <w:right w:w="70" w:type="dxa"/>
        </w:tblCellMar>
        <w:tblLook w:val="04A0"/>
      </w:tblPr>
      <w:tblGrid>
        <w:gridCol w:w="627"/>
        <w:gridCol w:w="971"/>
        <w:gridCol w:w="9614"/>
        <w:gridCol w:w="1273"/>
        <w:gridCol w:w="1439"/>
        <w:gridCol w:w="817"/>
      </w:tblGrid>
      <w:tr>
        <w:tblPrEx>
          <w:tblW w:w="0" w:type="auto"/>
          <w:tblInd w:w="55" w:type="dxa"/>
          <w:tblLook w:val="04A0"/>
        </w:tblPrEx>
        <w:trPr>
          <w:trHeight w:val="255"/>
        </w:trPr>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Dział</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Rozdział</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Wyszczególnienie</w:t>
            </w:r>
          </w:p>
        </w:tc>
        <w:tc>
          <w:tcPr>
            <w:tcW w:w="0" w:type="auto"/>
            <w:gridSpan w:val="3"/>
            <w:tcBorders>
              <w:top w:val="single" w:sz="4" w:space="0" w:color="000000"/>
              <w:left w:val="nil"/>
              <w:bottom w:val="single" w:sz="4" w:space="0" w:color="000000"/>
              <w:right w:val="single" w:sz="4" w:space="0" w:color="000000"/>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Kwota dotacji</w:t>
            </w:r>
          </w:p>
        </w:tc>
      </w:tr>
      <w:tr>
        <w:tblPrEx>
          <w:tblW w:w="0" w:type="auto"/>
          <w:tblInd w:w="55" w:type="dxa"/>
          <w:tblLook w:val="04A0"/>
        </w:tblPrEx>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p>
        </w:tc>
        <w:tc>
          <w:tcPr>
            <w:tcW w:w="0" w:type="auto"/>
            <w:tcBorders>
              <w:top w:val="nil"/>
              <w:left w:val="nil"/>
              <w:bottom w:val="single" w:sz="4" w:space="0" w:color="000000"/>
              <w:right w:val="single" w:sz="4" w:space="0" w:color="000000"/>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podmiotowej</w:t>
            </w:r>
          </w:p>
        </w:tc>
        <w:tc>
          <w:tcPr>
            <w:tcW w:w="0" w:type="auto"/>
            <w:tcBorders>
              <w:top w:val="nil"/>
              <w:left w:val="nil"/>
              <w:bottom w:val="single" w:sz="4" w:space="0" w:color="000000"/>
              <w:right w:val="single" w:sz="4" w:space="0" w:color="000000"/>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przedmiotowej</w:t>
            </w:r>
          </w:p>
        </w:tc>
        <w:tc>
          <w:tcPr>
            <w:tcW w:w="0" w:type="auto"/>
            <w:tcBorders>
              <w:top w:val="nil"/>
              <w:left w:val="nil"/>
              <w:bottom w:val="single" w:sz="4" w:space="0" w:color="000000"/>
              <w:right w:val="single" w:sz="4" w:space="0" w:color="000000"/>
            </w:tcBorders>
            <w:noWrap/>
            <w:vAlign w:val="center"/>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celowej</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nil"/>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nil"/>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single" w:sz="4" w:space="0" w:color="000000"/>
              <w:bottom w:val="single" w:sz="4" w:space="0" w:color="000000"/>
              <w:right w:val="nil"/>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DOTACJE OGÓŁEM, w tym:</w:t>
            </w:r>
          </w:p>
        </w:tc>
        <w:tc>
          <w:tcPr>
            <w:tcW w:w="0" w:type="auto"/>
            <w:tcBorders>
              <w:top w:val="nil"/>
              <w:left w:val="single" w:sz="4" w:space="0" w:color="000000"/>
              <w:bottom w:val="single" w:sz="4" w:space="0" w:color="000000"/>
              <w:right w:val="nil"/>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nil"/>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ascii="Arial CE" w:eastAsia="Times New Roman" w:hAnsi="Arial CE" w:cs="Times New Roman"/>
                <w:b/>
                <w:sz w:val="20"/>
                <w:szCs w:val="20"/>
                <w:u w:color="000000"/>
              </w:rPr>
            </w:pPr>
            <w:r>
              <w:rPr>
                <w:rFonts w:ascii="Arial CE" w:eastAsia="Times New Roman" w:hAnsi="Arial CE" w:cs="Times New Roman"/>
                <w:b/>
                <w:sz w:val="20"/>
                <w:szCs w:val="20"/>
                <w:u w:color="000000"/>
              </w:rPr>
              <w:t>217 170 477</w:t>
            </w:r>
          </w:p>
        </w:tc>
        <w:tc>
          <w:tcPr>
            <w:tcW w:w="0" w:type="auto"/>
            <w:tcBorders>
              <w:top w:val="nil"/>
              <w:left w:val="nil"/>
              <w:bottom w:val="single" w:sz="4" w:space="0" w:color="000000"/>
              <w:right w:val="single" w:sz="4" w:space="0" w:color="000000"/>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ascii="Arial CE" w:eastAsia="Times New Roman" w:hAnsi="Arial CE" w:cs="Times New Roman"/>
                <w:b/>
                <w:sz w:val="20"/>
                <w:szCs w:val="20"/>
                <w:u w:color="000000"/>
              </w:rPr>
            </w:pPr>
            <w:r>
              <w:rPr>
                <w:rFonts w:ascii="Arial CE" w:eastAsia="Times New Roman" w:hAnsi="Arial CE" w:cs="Times New Roman"/>
                <w:b/>
                <w:sz w:val="20"/>
                <w:szCs w:val="20"/>
                <w:u w:color="000000"/>
              </w:rPr>
              <w:t> </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nil"/>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nil"/>
            </w:tcBorders>
            <w:shd w:val="clear" w:color="000000" w:fill="F2F2F2"/>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single" w:sz="4" w:space="0" w:color="000000"/>
              <w:bottom w:val="single" w:sz="4" w:space="0" w:color="000000"/>
              <w:right w:val="nil"/>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I. Dotacje planowane do udzielenia jednostkom sektora finansów publicznych</w:t>
            </w:r>
          </w:p>
        </w:tc>
        <w:tc>
          <w:tcPr>
            <w:tcW w:w="0" w:type="auto"/>
            <w:tcBorders>
              <w:top w:val="nil"/>
              <w:left w:val="single" w:sz="4" w:space="0" w:color="000000"/>
              <w:bottom w:val="single" w:sz="4" w:space="0" w:color="000000"/>
              <w:right w:val="single" w:sz="4" w:space="0" w:color="000000"/>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14 858 880</w:t>
            </w:r>
          </w:p>
        </w:tc>
        <w:tc>
          <w:tcPr>
            <w:tcW w:w="0" w:type="auto"/>
            <w:tcBorders>
              <w:top w:val="nil"/>
              <w:left w:val="nil"/>
              <w:bottom w:val="single" w:sz="4" w:space="0" w:color="000000"/>
              <w:right w:val="single" w:sz="4" w:space="0" w:color="000000"/>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105 296 926</w:t>
            </w:r>
          </w:p>
        </w:tc>
      </w:tr>
      <w:tr>
        <w:tblPrEx>
          <w:tblW w:w="0" w:type="auto"/>
          <w:tblInd w:w="55" w:type="dxa"/>
          <w:tblLook w:val="04A0"/>
        </w:tblPrEx>
        <w:trPr>
          <w:trHeight w:val="51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600</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60004</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Wpłaty zmiennej części składki rocznej na rzecz Górnośląsko-Zagłębiowskiej Metropolii na</w:t>
            </w:r>
            <w:r>
              <w:rPr>
                <w:rFonts w:ascii="Czcionka tekstu podstawowego" w:eastAsia="Times New Roman" w:hAnsi="Czcionka tekstu podstawowego" w:cs="Times New Roman"/>
                <w:b/>
                <w:sz w:val="20"/>
                <w:szCs w:val="20"/>
                <w:u w:color="000000"/>
              </w:rPr>
              <w:t> </w:t>
            </w:r>
            <w:r>
              <w:rPr>
                <w:rFonts w:eastAsia="Times New Roman" w:cs="Times New Roman"/>
                <w:b/>
                <w:sz w:val="20"/>
                <w:szCs w:val="20"/>
                <w:u w:color="000000"/>
              </w:rPr>
              <w:t>organizację publicznego transportu zbiorowego, w tym:</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93 012 931</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część bieżąca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92 937 152</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część majątkowa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75 779</w:t>
            </w:r>
          </w:p>
        </w:tc>
      </w:tr>
      <w:tr>
        <w:tblPrEx>
          <w:tblW w:w="0" w:type="auto"/>
          <w:tblInd w:w="55" w:type="dxa"/>
          <w:tblLook w:val="04A0"/>
        </w:tblPrEx>
        <w:trPr>
          <w:trHeight w:val="510"/>
        </w:trPr>
        <w:tc>
          <w:tcPr>
            <w:tcW w:w="0" w:type="auto"/>
            <w:tcBorders>
              <w:top w:val="single" w:sz="4" w:space="0" w:color="000000"/>
              <w:left w:val="single" w:sz="4" w:space="0" w:color="000000"/>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730</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73095</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Dotacja dla Akademii Sztuk Teatralnych im. St. Wyspiańskiego w Krakowie na dofinansowanie bieżącej działalności funkcjonującego w Bytomiu Wydziału Teatru Tańca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300 000</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750</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75095</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Wpłaty części stałej składki rocznej na rzecz Górnośląsko-Zagłębiowskiej Metropolii</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1 294 099</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801</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80195</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Refinansowanie kosztów nauki religii różnych wyznań za dzieci będące mieszkańcami Bytomia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30 000</w:t>
            </w:r>
          </w:p>
        </w:tc>
      </w:tr>
      <w:tr>
        <w:tblPrEx>
          <w:tblW w:w="0" w:type="auto"/>
          <w:tblInd w:w="55" w:type="dxa"/>
          <w:tblLook w:val="04A0"/>
        </w:tblPrEx>
        <w:trPr>
          <w:trHeight w:val="510"/>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851</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85154</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Dotacja dla Bytomskiego Centrum Kultury na realizację zadania publicznego z zakresu przeciwdziałania uzależnieniom i zapobiegania patologiom społecznym pn. „LOKA – Letnia Oferta Kulturalnych Atrakcji”</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24 000</w:t>
            </w:r>
          </w:p>
        </w:tc>
      </w:tr>
      <w:tr>
        <w:tblPrEx>
          <w:tblW w:w="0" w:type="auto"/>
          <w:tblInd w:w="55" w:type="dxa"/>
          <w:tblLook w:val="04A0"/>
        </w:tblPrEx>
        <w:trPr>
          <w:trHeight w:val="270"/>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853</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85311</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Finansowanie udziału mieszkańców Bytomia w warsztatach terapii zajęciowej na terenie innych powiatów</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38 500</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855</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Razem</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Rodzina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5 300 000</w:t>
            </w:r>
          </w:p>
        </w:tc>
      </w:tr>
      <w:tr>
        <w:tblPrEx>
          <w:tblW w:w="0" w:type="auto"/>
          <w:tblInd w:w="55" w:type="dxa"/>
          <w:tblLook w:val="04A0"/>
        </w:tblPrEx>
        <w:trPr>
          <w:trHeight w:val="510"/>
        </w:trPr>
        <w:tc>
          <w:tcPr>
            <w:tcW w:w="0" w:type="auto"/>
            <w:tcBorders>
              <w:top w:val="nil"/>
              <w:left w:val="single" w:sz="4" w:space="0" w:color="000000"/>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85508</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Finansowanie kosztów utrzymania dzieci pochodzących z Bytomia umieszczonych w rodzinach zastępczych na terenie innych powiatów</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2 500 000</w:t>
            </w:r>
          </w:p>
        </w:tc>
      </w:tr>
      <w:tr>
        <w:tblPrEx>
          <w:tblW w:w="0" w:type="auto"/>
          <w:tblInd w:w="55" w:type="dxa"/>
          <w:tblLook w:val="04A0"/>
        </w:tblPrEx>
        <w:trPr>
          <w:trHeight w:val="510"/>
        </w:trPr>
        <w:tc>
          <w:tcPr>
            <w:tcW w:w="0" w:type="auto"/>
            <w:tcBorders>
              <w:top w:val="nil"/>
              <w:left w:val="single" w:sz="4" w:space="0" w:color="000000"/>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85510</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Finansowanie kosztów utrzymania dzieci pochodzących z Bytomia umieszczonych w placówkach opiekuńczo-wychowawczych na terenie innych powiatów</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2 800 000</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900</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Razem</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Gospodarka komunalna i ochrona środowiska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84 512</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90002</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xml:space="preserve">Dotacja w zakresie edukacji ekologicznej dotyczącej prawidłowego gospodarowania odpadami komunalnymi </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59 150</w:t>
            </w:r>
          </w:p>
        </w:tc>
      </w:tr>
      <w:tr>
        <w:tblPrEx>
          <w:tblW w:w="0" w:type="auto"/>
          <w:tblInd w:w="55" w:type="dxa"/>
          <w:tblLook w:val="04A0"/>
        </w:tblPrEx>
        <w:trPr>
          <w:trHeight w:val="765"/>
        </w:trPr>
        <w:tc>
          <w:tcPr>
            <w:tcW w:w="0" w:type="auto"/>
            <w:tcBorders>
              <w:top w:val="nil"/>
              <w:left w:val="single" w:sz="4" w:space="0" w:color="000000"/>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90005</w:t>
            </w:r>
          </w:p>
        </w:tc>
        <w:tc>
          <w:tcPr>
            <w:tcW w:w="0" w:type="auto"/>
            <w:tcBorders>
              <w:top w:val="nil"/>
              <w:left w:val="nil"/>
              <w:bottom w:val="single" w:sz="4" w:space="0" w:color="000000"/>
              <w:right w:val="nil"/>
            </w:tcBorders>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Wpłata na rzecz Górnośląsko-Zagłębiowskiej Metropolii na pokrycie kosztów kwalifikowanych przypadających na Gminę w</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czasie realizacji zadania pn. „Poprawa efektywności energetycznej w</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budynkach wielorodzinnych na terenie Górnośląsko-Zagłębiowskiej Metropolii – program ELENA”</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25 362</w:t>
            </w:r>
          </w:p>
        </w:tc>
      </w:tr>
      <w:tr>
        <w:tblPrEx>
          <w:tblW w:w="0" w:type="auto"/>
          <w:tblInd w:w="55" w:type="dxa"/>
          <w:tblLook w:val="04A0"/>
        </w:tblPrEx>
        <w:trPr>
          <w:trHeight w:val="255"/>
        </w:trPr>
        <w:tc>
          <w:tcPr>
            <w:tcW w:w="0" w:type="auto"/>
            <w:tcBorders>
              <w:top w:val="single" w:sz="4" w:space="0" w:color="000000"/>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921</w:t>
            </w:r>
          </w:p>
        </w:tc>
        <w:tc>
          <w:tcPr>
            <w:tcW w:w="0" w:type="auto"/>
            <w:tcBorders>
              <w:top w:val="single" w:sz="4" w:space="0" w:color="000000"/>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Razem</w:t>
            </w:r>
          </w:p>
        </w:tc>
        <w:tc>
          <w:tcPr>
            <w:tcW w:w="0" w:type="auto"/>
            <w:tcBorders>
              <w:top w:val="single" w:sz="4" w:space="0" w:color="000000"/>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Kultura i ochrona dziedzictwa narodowego</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14 858 880</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5 212 884</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92113</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xml:space="preserve">Dotacja dla Bytomskiego Centrum Kultury, w tym na: </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6 225 920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5 096 884</w:t>
            </w:r>
          </w:p>
        </w:tc>
      </w:tr>
      <w:tr>
        <w:tblPrEx>
          <w:tblW w:w="0" w:type="auto"/>
          <w:tblInd w:w="55" w:type="dxa"/>
          <w:tblLook w:val="04A0"/>
        </w:tblPrEx>
        <w:trPr>
          <w:trHeight w:val="255"/>
        </w:trPr>
        <w:tc>
          <w:tcPr>
            <w:tcW w:w="0" w:type="auto"/>
            <w:tcBorders>
              <w:top w:val="single" w:sz="4" w:space="0" w:color="000000"/>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single" w:sz="4" w:space="0" w:color="000000"/>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single" w:sz="4" w:space="0" w:color="000000"/>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dofinansowanie bieżącej działalności</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6 225 920</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organizację wakacyjnych wydarzeń kulturalnych w plenerze</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123 500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remont i poprawę stanu technicznego budynku Bytomskiego Centrum Kultury oraz zakup wyposażenia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4 973 384</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92114</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Dotacja dla Teatru Tańca i Ruchu Rozbark, w tym na: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3 297 500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96 000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dofinansowanie bieżącej działalności</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3 297 500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wkład własny w ramach realizacji projektu pn. „Przestrzenie Sztuki – Taniec, edycja 2026-2028”</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96 000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92116</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xml:space="preserve">Dotacja dla Miejskiej Biblioteki Publicznej, w tym na: </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5 335 460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20 000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dofinansowanie bieżącej działalności</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5 335 460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51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współfinansowanie projektu pn. „Stacja kosmiczna Bytom” realizowanego w ramach programu Ministerstwa Kultury i</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Dziedzictwa Narodowego pn. „Partnerstwo dla Książki 2026”</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20 000</w:t>
            </w:r>
          </w:p>
        </w:tc>
      </w:tr>
      <w:tr>
        <w:tblPrEx>
          <w:tblW w:w="0" w:type="auto"/>
          <w:tblInd w:w="55" w:type="dxa"/>
          <w:tblLook w:val="04A0"/>
        </w:tblPrEx>
        <w:trPr>
          <w:trHeight w:val="255"/>
        </w:trPr>
        <w:tc>
          <w:tcPr>
            <w:tcW w:w="0" w:type="auto"/>
            <w:tcBorders>
              <w:top w:val="single" w:sz="4" w:space="0" w:color="000000"/>
              <w:left w:val="single" w:sz="4" w:space="0" w:color="000000"/>
              <w:bottom w:val="single" w:sz="4" w:space="0" w:color="000000"/>
              <w:right w:val="nil"/>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nil"/>
            </w:tcBorders>
            <w:shd w:val="clear" w:color="000000" w:fill="F2F2F2"/>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single" w:sz="4" w:space="0" w:color="000000"/>
              <w:bottom w:val="single" w:sz="4" w:space="0" w:color="000000"/>
              <w:right w:val="nil"/>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II. Dotacje planowane do udzielenia jednostkom spoza sektora finansów publicznych</w:t>
            </w:r>
          </w:p>
        </w:tc>
        <w:tc>
          <w:tcPr>
            <w:tcW w:w="0" w:type="auto"/>
            <w:tcBorders>
              <w:top w:val="nil"/>
              <w:left w:val="single" w:sz="4" w:space="0" w:color="000000"/>
              <w:bottom w:val="single" w:sz="4" w:space="0" w:color="000000"/>
              <w:right w:val="single" w:sz="4" w:space="0" w:color="000000"/>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49 627 409</w:t>
            </w:r>
          </w:p>
        </w:tc>
        <w:tc>
          <w:tcPr>
            <w:tcW w:w="0" w:type="auto"/>
            <w:tcBorders>
              <w:top w:val="nil"/>
              <w:left w:val="nil"/>
              <w:bottom w:val="single" w:sz="4" w:space="0" w:color="000000"/>
              <w:right w:val="single" w:sz="4" w:space="0" w:color="000000"/>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shd w:val="clear" w:color="000000" w:fill="F2F2F2"/>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47 387 262</w:t>
            </w:r>
          </w:p>
        </w:tc>
      </w:tr>
      <w:tr>
        <w:tblPrEx>
          <w:tblW w:w="0" w:type="auto"/>
          <w:tblInd w:w="55" w:type="dxa"/>
          <w:tblLook w:val="04A0"/>
        </w:tblPrEx>
        <w:trPr>
          <w:trHeight w:val="510"/>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630</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63095</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Dotacje na organizację imprez turystycznych i krajoznawczych w ramach realizacji zadań publicznych z zakresu turystyki i krajoznawstwa w oparciu o konkurs ofert</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40 000</w:t>
            </w:r>
          </w:p>
        </w:tc>
      </w:tr>
      <w:tr>
        <w:tblPrEx>
          <w:tblW w:w="0" w:type="auto"/>
          <w:tblInd w:w="55" w:type="dxa"/>
          <w:tblLook w:val="04A0"/>
        </w:tblPrEx>
        <w:trPr>
          <w:trHeight w:val="765"/>
        </w:trPr>
        <w:tc>
          <w:tcPr>
            <w:tcW w:w="0" w:type="auto"/>
            <w:tcBorders>
              <w:top w:val="nil"/>
              <w:left w:val="single" w:sz="4" w:space="0" w:color="000000"/>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750</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75095</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Dotacje na realizację zadań publicznych miasta Bytomia skierowanych do mieszkańców Bytomia i organizacji pozarządowych działających na terenie miasta Bytomia, wsparcie działań doradczych i szkoleniowych oraz prowadzenie centrum Organizacji Pozarządowych oraz wybór operatora regrantingu</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190 000</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754</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75412</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Dotacje dla jednostek ochotniczych straży pożarnych, w tym na:</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229 999</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single" w:sz="4" w:space="0" w:color="000000"/>
            </w:tcBorders>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dofinansowanie bieżącej działalności</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30 000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nil"/>
              <w:right w:val="single" w:sz="4" w:space="0" w:color="000000"/>
            </w:tcBorders>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realizację w ramach budżetu obywatelskiego projektu pn. „Razem dla Stolarzowic i Górnik”</w:t>
            </w:r>
          </w:p>
        </w:tc>
        <w:tc>
          <w:tcPr>
            <w:tcW w:w="0" w:type="auto"/>
            <w:tcBorders>
              <w:top w:val="nil"/>
              <w:left w:val="nil"/>
              <w:bottom w:val="nil"/>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nil"/>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nil"/>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199 999</w:t>
            </w:r>
          </w:p>
        </w:tc>
      </w:tr>
      <w:tr>
        <w:tblPrEx>
          <w:tblW w:w="0" w:type="auto"/>
          <w:tblInd w:w="55" w:type="dxa"/>
          <w:tblLook w:val="04A0"/>
        </w:tblPrEx>
        <w:trPr>
          <w:trHeight w:val="510"/>
        </w:trPr>
        <w:tc>
          <w:tcPr>
            <w:tcW w:w="0" w:type="auto"/>
            <w:tcBorders>
              <w:top w:val="single" w:sz="4" w:space="0" w:color="000000"/>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755</w:t>
            </w:r>
          </w:p>
        </w:tc>
        <w:tc>
          <w:tcPr>
            <w:tcW w:w="0" w:type="auto"/>
            <w:tcBorders>
              <w:top w:val="single" w:sz="4" w:space="0" w:color="000000"/>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75515</w:t>
            </w:r>
          </w:p>
        </w:tc>
        <w:tc>
          <w:tcPr>
            <w:tcW w:w="0" w:type="auto"/>
            <w:tcBorders>
              <w:top w:val="single" w:sz="4" w:space="0" w:color="000000"/>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 xml:space="preserve">Dotacje dla organizacji pozarządowych wybranych w trybie konkursu ofert na świadczenie usług nieodpłatnej pomocy prawnej, poradnictwa obywatelskiego oraz edukacji prawnej </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220 346</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801</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Razem</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Oświata i wychowanie</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38 478 543</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70 534</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xml:space="preserve">80195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xml:space="preserve">Dotacje dla organizacji pozarządowych na realizację zadań o charakterze edukacyjnym </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50 000</w:t>
            </w:r>
          </w:p>
        </w:tc>
      </w:tr>
      <w:tr>
        <w:tblPrEx>
          <w:tblW w:w="0" w:type="auto"/>
          <w:tblInd w:w="55" w:type="dxa"/>
          <w:tblLook w:val="04A0"/>
        </w:tblPrEx>
        <w:trPr>
          <w:trHeight w:val="51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single" w:sz="4" w:space="0" w:color="000000"/>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udzielane niepublicznym szkołom i placówkom oświatowym funkcjonującym na terenie miasta w</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podziale na</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następujące rozdziały klasyfikacji budżetowej:</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38 478 543</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20 534</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80101 – Szkoły podstawowe</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1 974 127</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80104 – Przedszkola</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5 739 626</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80108 – Szkoły podstawowe dla dorosłych</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31 460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80115 – Technika</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2 365 272</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27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80116 – Szkoły policealne</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7 244 257</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80117 – Branżowe szkoły I stopnia</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1 044 059</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27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80120 – Licea ogólnokształcące</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1 341 696</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270"/>
        </w:trPr>
        <w:tc>
          <w:tcPr>
            <w:tcW w:w="0" w:type="auto"/>
            <w:tcBorders>
              <w:top w:val="nil"/>
              <w:left w:val="single" w:sz="4" w:space="0" w:color="000000"/>
              <w:bottom w:val="single" w:sz="8"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8"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single" w:sz="4" w:space="0" w:color="000000"/>
              <w:left w:val="nil"/>
              <w:bottom w:val="single" w:sz="8"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80122 – Licea ogólnokształcące dla dorosłych</w:t>
            </w:r>
          </w:p>
        </w:tc>
        <w:tc>
          <w:tcPr>
            <w:tcW w:w="0" w:type="auto"/>
            <w:tcBorders>
              <w:top w:val="nil"/>
              <w:left w:val="single" w:sz="4" w:space="0" w:color="000000"/>
              <w:bottom w:val="single" w:sz="8"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165 371</w:t>
            </w:r>
          </w:p>
        </w:tc>
        <w:tc>
          <w:tcPr>
            <w:tcW w:w="0" w:type="auto"/>
            <w:tcBorders>
              <w:top w:val="nil"/>
              <w:left w:val="nil"/>
              <w:bottom w:val="single" w:sz="8"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8"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90"/>
        </w:trPr>
        <w:tc>
          <w:tcPr>
            <w:tcW w:w="0" w:type="auto"/>
            <w:tcBorders>
              <w:top w:val="single" w:sz="8" w:space="0" w:color="000000"/>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p>
        </w:tc>
        <w:tc>
          <w:tcPr>
            <w:tcW w:w="0" w:type="auto"/>
            <w:tcBorders>
              <w:top w:val="single" w:sz="8" w:space="0" w:color="000000"/>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p>
        </w:tc>
        <w:tc>
          <w:tcPr>
            <w:tcW w:w="0" w:type="auto"/>
            <w:tcBorders>
              <w:top w:val="single" w:sz="8" w:space="0" w:color="000000"/>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p>
        </w:tc>
        <w:tc>
          <w:tcPr>
            <w:tcW w:w="0" w:type="auto"/>
            <w:tcBorders>
              <w:top w:val="single" w:sz="8" w:space="0" w:color="000000"/>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c>
          <w:tcPr>
            <w:tcW w:w="0" w:type="auto"/>
            <w:tcBorders>
              <w:top w:val="single" w:sz="8" w:space="0" w:color="000000"/>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c>
          <w:tcPr>
            <w:tcW w:w="0" w:type="auto"/>
            <w:tcBorders>
              <w:top w:val="single" w:sz="8" w:space="0" w:color="000000"/>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r>
      <w:tr>
        <w:tblPrEx>
          <w:tblW w:w="0" w:type="auto"/>
          <w:tblInd w:w="55" w:type="dxa"/>
          <w:tblLook w:val="04A0"/>
        </w:tblPrEx>
        <w:trPr>
          <w:trHeight w:val="90"/>
        </w:trPr>
        <w:tc>
          <w:tcPr>
            <w:tcW w:w="0" w:type="auto"/>
            <w:tcBorders>
              <w:top w:val="nil"/>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p>
        </w:tc>
        <w:tc>
          <w:tcPr>
            <w:tcW w:w="0" w:type="auto"/>
            <w:tcBorders>
              <w:top w:val="nil"/>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p>
        </w:tc>
        <w:tc>
          <w:tcPr>
            <w:tcW w:w="0" w:type="auto"/>
            <w:tcBorders>
              <w:top w:val="nil"/>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p>
        </w:tc>
        <w:tc>
          <w:tcPr>
            <w:tcW w:w="0" w:type="auto"/>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c>
          <w:tcPr>
            <w:tcW w:w="0" w:type="auto"/>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c>
          <w:tcPr>
            <w:tcW w:w="0" w:type="auto"/>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r>
      <w:tr>
        <w:tblPrEx>
          <w:tblW w:w="0" w:type="auto"/>
          <w:tblInd w:w="55" w:type="dxa"/>
          <w:tblLook w:val="04A0"/>
        </w:tblPrEx>
        <w:trPr>
          <w:trHeight w:val="90"/>
        </w:trPr>
        <w:tc>
          <w:tcPr>
            <w:tcW w:w="0" w:type="auto"/>
            <w:tcBorders>
              <w:top w:val="nil"/>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p>
        </w:tc>
        <w:tc>
          <w:tcPr>
            <w:tcW w:w="0" w:type="auto"/>
            <w:tcBorders>
              <w:top w:val="nil"/>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p>
        </w:tc>
        <w:tc>
          <w:tcPr>
            <w:tcW w:w="0" w:type="auto"/>
            <w:tcBorders>
              <w:top w:val="nil"/>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p>
        </w:tc>
        <w:tc>
          <w:tcPr>
            <w:tcW w:w="0" w:type="auto"/>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c>
          <w:tcPr>
            <w:tcW w:w="0" w:type="auto"/>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c>
          <w:tcPr>
            <w:tcW w:w="0" w:type="auto"/>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r>
      <w:tr>
        <w:tblPrEx>
          <w:tblW w:w="0" w:type="auto"/>
          <w:tblInd w:w="55" w:type="dxa"/>
          <w:tblLook w:val="04A0"/>
        </w:tblPrEx>
        <w:trPr>
          <w:trHeight w:val="90"/>
        </w:trPr>
        <w:tc>
          <w:tcPr>
            <w:tcW w:w="0" w:type="auto"/>
            <w:tcBorders>
              <w:top w:val="nil"/>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p>
        </w:tc>
        <w:tc>
          <w:tcPr>
            <w:tcW w:w="0" w:type="auto"/>
            <w:tcBorders>
              <w:top w:val="nil"/>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p>
        </w:tc>
        <w:tc>
          <w:tcPr>
            <w:tcW w:w="0" w:type="auto"/>
            <w:tcBorders>
              <w:top w:val="nil"/>
              <w:left w:val="nil"/>
              <w:bottom w:val="nil"/>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p>
        </w:tc>
        <w:tc>
          <w:tcPr>
            <w:tcW w:w="0" w:type="auto"/>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c>
          <w:tcPr>
            <w:tcW w:w="0" w:type="auto"/>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c>
          <w:tcPr>
            <w:tcW w:w="0" w:type="auto"/>
            <w:tcBorders>
              <w:top w:val="nil"/>
              <w:left w:val="nil"/>
              <w:bottom w:val="nil"/>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r>
      <w:tr>
        <w:tblPrEx>
          <w:tblW w:w="0" w:type="auto"/>
          <w:tblInd w:w="55" w:type="dxa"/>
          <w:tblLook w:val="04A0"/>
        </w:tblPrEx>
        <w:trPr>
          <w:trHeight w:val="90"/>
        </w:trPr>
        <w:tc>
          <w:tcPr>
            <w:tcW w:w="0" w:type="auto"/>
            <w:tcBorders>
              <w:top w:val="nil"/>
              <w:left w:val="nil"/>
              <w:bottom w:val="single" w:sz="8"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p>
        </w:tc>
        <w:tc>
          <w:tcPr>
            <w:tcW w:w="0" w:type="auto"/>
            <w:tcBorders>
              <w:top w:val="nil"/>
              <w:left w:val="nil"/>
              <w:bottom w:val="single" w:sz="8"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p>
        </w:tc>
        <w:tc>
          <w:tcPr>
            <w:tcW w:w="0" w:type="auto"/>
            <w:tcBorders>
              <w:top w:val="nil"/>
              <w:left w:val="nil"/>
              <w:bottom w:val="single" w:sz="8"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p>
        </w:tc>
        <w:tc>
          <w:tcPr>
            <w:tcW w:w="0" w:type="auto"/>
            <w:tcBorders>
              <w:top w:val="nil"/>
              <w:left w:val="nil"/>
              <w:bottom w:val="single" w:sz="8" w:space="0" w:color="000000"/>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c>
          <w:tcPr>
            <w:tcW w:w="0" w:type="auto"/>
            <w:tcBorders>
              <w:top w:val="nil"/>
              <w:left w:val="nil"/>
              <w:bottom w:val="single" w:sz="8" w:space="0" w:color="000000"/>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c>
          <w:tcPr>
            <w:tcW w:w="0" w:type="auto"/>
            <w:tcBorders>
              <w:top w:val="nil"/>
              <w:left w:val="nil"/>
              <w:bottom w:val="single" w:sz="8" w:space="0" w:color="000000"/>
              <w:right w:val="nil"/>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p>
        </w:tc>
      </w:tr>
      <w:tr>
        <w:tblPrEx>
          <w:tblW w:w="0" w:type="auto"/>
          <w:tblInd w:w="55" w:type="dxa"/>
          <w:tblLook w:val="04A0"/>
        </w:tblPrEx>
        <w:trPr>
          <w:trHeight w:val="90"/>
        </w:trPr>
        <w:tc>
          <w:tcPr>
            <w:tcW w:w="0" w:type="auto"/>
            <w:tcBorders>
              <w:top w:val="single" w:sz="8" w:space="0" w:color="000000"/>
              <w:left w:val="single" w:sz="4" w:space="0" w:color="000000"/>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single" w:sz="8" w:space="0" w:color="000000"/>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single" w:sz="8" w:space="0" w:color="000000"/>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80149 – Realizacja zadań wymagających stosowania specjalnej organizacji nauki i metod pracy dla</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 xml:space="preserve">dzieci w przedszkolach, oddziałach przedszkolnych w szkołach podstawowych i innych formach wychowania przedszkolnego </w:t>
            </w:r>
          </w:p>
        </w:tc>
        <w:tc>
          <w:tcPr>
            <w:tcW w:w="0" w:type="auto"/>
            <w:tcBorders>
              <w:top w:val="single" w:sz="8" w:space="0" w:color="000000"/>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16 554 093</w:t>
            </w:r>
          </w:p>
        </w:tc>
        <w:tc>
          <w:tcPr>
            <w:tcW w:w="0" w:type="auto"/>
            <w:tcBorders>
              <w:top w:val="single" w:sz="8"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single" w:sz="8"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510"/>
        </w:trPr>
        <w:tc>
          <w:tcPr>
            <w:tcW w:w="0" w:type="auto"/>
            <w:tcBorders>
              <w:top w:val="nil"/>
              <w:left w:val="single" w:sz="4" w:space="0" w:color="000000"/>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80150 – Realizacja zadań wymagających stosowania specjalnej organizacji nauki i metod pracy dla</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dzieci i młodzieży w szkołach podstawowych</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1 190 135</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80151 – Kwalifikacyjne kursy zawodowe</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10 000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1020"/>
        </w:trPr>
        <w:tc>
          <w:tcPr>
            <w:tcW w:w="0" w:type="auto"/>
            <w:tcBorders>
              <w:top w:val="nil"/>
              <w:left w:val="single" w:sz="4" w:space="0" w:color="000000"/>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80152 – Realizacja zadań wymagających stosowania specjalnej organizacji nauki i metod pracy dla</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dzieci i młodzieży w</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gimnazjach, klasach dotychczasowego gimnazjum prowadzonych w</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szkołach innego typu, liceach ogólnokształcących, technikach, szkołach policealnych, branżowych szkołach I</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i</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II</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stopnia i klasach dotychczasowej zasadniczej szkoły zawodowej prowadzonych w</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branżowych szkołach I stopnia oraz szkołach artystycznych</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818 447</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70"/>
        </w:trPr>
        <w:tc>
          <w:tcPr>
            <w:tcW w:w="0" w:type="auto"/>
            <w:tcBorders>
              <w:top w:val="nil"/>
              <w:left w:val="single" w:sz="4" w:space="0" w:color="000000"/>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nil"/>
            </w:tcBorders>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color w:val="000000"/>
                <w:sz w:val="20"/>
                <w:szCs w:val="20"/>
                <w:u w:color="000000"/>
              </w:rPr>
            </w:pPr>
            <w:r>
              <w:rPr>
                <w:rFonts w:eastAsia="Times New Roman" w:cs="Times New Roman"/>
                <w:color w:val="000000"/>
                <w:sz w:val="20"/>
                <w:szCs w:val="20"/>
                <w:u w:color="000000"/>
              </w:rPr>
              <w:t>80153 – Zapewnienie uczniom prawa do bezpłatnego dostępu do podręczników, materiałów edukacyjnych lub materiałów ćwiczeniowych</w:t>
            </w:r>
          </w:p>
        </w:tc>
        <w:tc>
          <w:tcPr>
            <w:tcW w:w="0" w:type="auto"/>
            <w:tcBorders>
              <w:top w:val="nil"/>
              <w:left w:val="single" w:sz="4" w:space="0" w:color="000000"/>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20 534</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851</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Razem</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Ochrona zdrowia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726 000</w:t>
            </w:r>
          </w:p>
        </w:tc>
      </w:tr>
      <w:tr>
        <w:tblPrEx>
          <w:tblW w:w="0" w:type="auto"/>
          <w:tblInd w:w="55" w:type="dxa"/>
          <w:tblLook w:val="04A0"/>
        </w:tblPrEx>
        <w:trPr>
          <w:trHeight w:val="51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85154</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na przeciwdziałanie uzależnieniom i zapobieganie patologiom społecznym w ramach współpracy z podmiotami wyłonionymi w drodze konkursów ofert i innych procedur</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296 000</w:t>
            </w:r>
          </w:p>
        </w:tc>
      </w:tr>
      <w:tr>
        <w:tblPrEx>
          <w:tblW w:w="0" w:type="auto"/>
          <w:tblInd w:w="55" w:type="dxa"/>
          <w:tblLook w:val="04A0"/>
        </w:tblPrEx>
        <w:trPr>
          <w:trHeight w:val="510"/>
        </w:trPr>
        <w:tc>
          <w:tcPr>
            <w:tcW w:w="0" w:type="auto"/>
            <w:tcBorders>
              <w:top w:val="nil"/>
              <w:left w:val="single" w:sz="4" w:space="0" w:color="000000"/>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85195</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na zapewnienie opieki hospicyjno-paliatywnej w domu chorego, rehabilitację oraz realizację innych zadań z zakresu ochrony zdrowia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430 000</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852</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Razem</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Pomoc społeczna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893 952</w:t>
            </w:r>
          </w:p>
        </w:tc>
      </w:tr>
      <w:tr>
        <w:tblPrEx>
          <w:tblW w:w="0" w:type="auto"/>
          <w:tblInd w:w="55" w:type="dxa"/>
          <w:tblLook w:val="04A0"/>
        </w:tblPrEx>
        <w:trPr>
          <w:trHeight w:val="27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85202</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na realizację zadań z zakresu:</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792 606</w:t>
            </w:r>
          </w:p>
        </w:tc>
      </w:tr>
      <w:tr>
        <w:tblPrEx>
          <w:tblW w:w="0" w:type="auto"/>
          <w:tblInd w:w="55" w:type="dxa"/>
          <w:tblLook w:val="04A0"/>
        </w:tblPrEx>
        <w:trPr>
          <w:trHeight w:val="52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działań na rzecz osób niepełnosprawnych w ramach współpracy z podmiotami wyłonionymi w</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drodze konkursów ofert i</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innych procedur, w tym prowadzenie na zlecenie miasta domu pomocy społecznej o zasięgu ponadgminnym</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60 000</w:t>
            </w:r>
          </w:p>
        </w:tc>
      </w:tr>
      <w:tr>
        <w:tblPrEx>
          <w:tblW w:w="0" w:type="auto"/>
          <w:tblInd w:w="55" w:type="dxa"/>
          <w:tblLook w:val="04A0"/>
        </w:tblPrEx>
        <w:trPr>
          <w:trHeight w:val="27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dofinansowania wynagrodzeń pracowników jednostek organizacyjnych pomocy społecznej</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732 606</w:t>
            </w:r>
          </w:p>
        </w:tc>
      </w:tr>
      <w:tr>
        <w:tblPrEx>
          <w:tblW w:w="0" w:type="auto"/>
          <w:tblInd w:w="55" w:type="dxa"/>
          <w:tblLook w:val="04A0"/>
        </w:tblPrEx>
        <w:trPr>
          <w:trHeight w:val="27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85220</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xml:space="preserve">Dotacje na dofinansowanie wynagrodzeń pracowników jednostek organizacyjnych pomocy społecznej </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63 419</w:t>
            </w:r>
          </w:p>
        </w:tc>
      </w:tr>
      <w:tr>
        <w:tblPrEx>
          <w:tblW w:w="0" w:type="auto"/>
          <w:tblInd w:w="55" w:type="dxa"/>
          <w:tblLook w:val="04A0"/>
        </w:tblPrEx>
        <w:trPr>
          <w:trHeight w:val="24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85232</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dla uczestników projektu pn. „Czas na zmiany – nowe Perspektywy (RAZEM) z Centrum Integracji Społecznej” w zakresie reintegracji społecznej i zawodowej</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37 927</w:t>
            </w:r>
          </w:p>
        </w:tc>
      </w:tr>
      <w:tr>
        <w:tblPrEx>
          <w:tblW w:w="0" w:type="auto"/>
          <w:tblInd w:w="55" w:type="dxa"/>
          <w:tblLook w:val="04A0"/>
        </w:tblPrEx>
        <w:trPr>
          <w:trHeight w:val="255"/>
        </w:trPr>
        <w:tc>
          <w:tcPr>
            <w:tcW w:w="0" w:type="auto"/>
            <w:tcBorders>
              <w:top w:val="single" w:sz="4" w:space="0" w:color="000000"/>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853</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Razem</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Pozostałe zadania w zakresie polityki społecznej</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663 000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220 606</w:t>
            </w:r>
          </w:p>
        </w:tc>
      </w:tr>
      <w:tr>
        <w:tblPrEx>
          <w:tblW w:w="0" w:type="auto"/>
          <w:tblInd w:w="55" w:type="dxa"/>
          <w:tblLook w:val="04A0"/>
        </w:tblPrEx>
        <w:trPr>
          <w:trHeight w:val="51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85311</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na realizację zadań z zakresu rehabilitacji zawodowej i społecznej osób niepełnosprawnych w ramach warsztatów terapii zajęciowej funkcjonujących na terenie miasta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663 000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51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85333</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dla uczestników projektu pn. „Biznes na zicher – 100 tysięcy na start” w zakresie wsparcia bezzwrotnego na założenie własnej działalności gospodarczej</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14 506</w:t>
            </w:r>
          </w:p>
        </w:tc>
      </w:tr>
      <w:tr>
        <w:tblPrEx>
          <w:tblW w:w="0" w:type="auto"/>
          <w:tblInd w:w="55" w:type="dxa"/>
          <w:tblLook w:val="04A0"/>
        </w:tblPrEx>
        <w:trPr>
          <w:trHeight w:val="315"/>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85395</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na realizację zadań z zakresu polityki senioralnej oraz wsparcia rodzin zagrożonych wykluczeniem społecznym</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206 100</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854</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Razem</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Edukacyjna opieka wychowawcza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10 485 866</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r>
      <w:tr>
        <w:tblPrEx>
          <w:tblW w:w="0" w:type="auto"/>
          <w:tblInd w:w="55" w:type="dxa"/>
          <w:tblLook w:val="04A0"/>
        </w:tblPrEx>
        <w:trPr>
          <w:trHeight w:val="510"/>
        </w:trPr>
        <w:tc>
          <w:tcPr>
            <w:tcW w:w="0" w:type="auto"/>
            <w:tcBorders>
              <w:top w:val="single" w:sz="4" w:space="0" w:color="000000"/>
              <w:left w:val="single" w:sz="4" w:space="0" w:color="000000"/>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single" w:sz="4" w:space="0" w:color="000000"/>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85404</w:t>
            </w:r>
          </w:p>
        </w:tc>
        <w:tc>
          <w:tcPr>
            <w:tcW w:w="0" w:type="auto"/>
            <w:tcBorders>
              <w:top w:val="single" w:sz="4" w:space="0" w:color="000000"/>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dla niepublicznych placówek oświatowych na realizację zadań z zakresu wczesnego wspomagania rozwoju dziecka</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1 559 193</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single" w:sz="4" w:space="0" w:color="000000"/>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510"/>
        </w:trPr>
        <w:tc>
          <w:tcPr>
            <w:tcW w:w="0" w:type="auto"/>
            <w:tcBorders>
              <w:top w:val="single" w:sz="4" w:space="0" w:color="000000"/>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85419</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Dotacja dla niepublicznego ośrodka rehabilitacyjno-edukacyjno-wychowawczego (OREW) na</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dofinansowanie bieżącej działalności</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8 926 673</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r>
      <w:tr>
        <w:tblPrEx>
          <w:tblW w:w="0" w:type="auto"/>
          <w:tblInd w:w="55" w:type="dxa"/>
          <w:tblLook w:val="04A0"/>
        </w:tblPrEx>
        <w:trPr>
          <w:trHeight w:val="255"/>
        </w:trPr>
        <w:tc>
          <w:tcPr>
            <w:tcW w:w="0" w:type="auto"/>
            <w:tcBorders>
              <w:top w:val="nil"/>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855</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85504</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Dotacje na realizację zadań z zakresu:</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695 924</w:t>
            </w:r>
          </w:p>
        </w:tc>
      </w:tr>
      <w:tr>
        <w:tblPrEx>
          <w:tblW w:w="0" w:type="auto"/>
          <w:tblInd w:w="55" w:type="dxa"/>
          <w:tblLook w:val="04A0"/>
        </w:tblPrEx>
        <w:trPr>
          <w:trHeight w:val="27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dziennej opieki nad dziećmi w niepublicznych placówkach wsparcia dziennego</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680 000</w:t>
            </w:r>
          </w:p>
        </w:tc>
      </w:tr>
      <w:tr>
        <w:tblPrEx>
          <w:tblW w:w="0" w:type="auto"/>
          <w:tblInd w:w="55" w:type="dxa"/>
          <w:tblLook w:val="04A0"/>
        </w:tblPrEx>
        <w:trPr>
          <w:trHeight w:val="27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xml:space="preserve">dofinansowania wynagrodzeń pracowników jednostek wspierania rodziny </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15 924</w:t>
            </w:r>
          </w:p>
        </w:tc>
      </w:tr>
      <w:tr>
        <w:tblPrEx>
          <w:tblW w:w="0" w:type="auto"/>
          <w:tblInd w:w="55" w:type="dxa"/>
          <w:tblLook w:val="04A0"/>
        </w:tblPrEx>
        <w:trPr>
          <w:trHeight w:val="255"/>
        </w:trPr>
        <w:tc>
          <w:tcPr>
            <w:tcW w:w="0" w:type="auto"/>
            <w:tcBorders>
              <w:top w:val="single" w:sz="4" w:space="0" w:color="000000"/>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900</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Razem</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Gospodarka komunalna i ochrona środowiska</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41 050 888</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single" w:sz="4" w:space="0" w:color="000000"/>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90005</w:t>
            </w:r>
          </w:p>
        </w:tc>
        <w:tc>
          <w:tcPr>
            <w:tcW w:w="0" w:type="auto"/>
            <w:tcBorders>
              <w:top w:val="nil"/>
              <w:left w:val="nil"/>
              <w:bottom w:val="single" w:sz="4" w:space="0" w:color="000000"/>
              <w:right w:val="single" w:sz="4" w:space="0" w:color="000000"/>
            </w:tcBorders>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dla uczestników projektów pn.:</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40 152 898</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Ciepłe Mieszkanie</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85 498</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Stop Smog</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38 468</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Rozwój energetyki rozproszonej opartej o odnawialne źródła energii na terenie Gminy Bytom</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7 165 932</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Rozwój energetyki rozproszonej opartej o odnawialne źródła energii na terenie Gminy Bytom i</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Radzionków</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32 863 000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90095</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na realizację zadań z zakresu:</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897 990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wspierania edukacji ekologicznej oraz przeciwdziałania bezdomności zwierząt</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80 000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modernizacji i rozwoju infrastruktury ogrodowej na terenie ogólnym rodzinnych ogrodów działkowych</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158 410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xml:space="preserve">inwestycji pn. „Bezpieczna droga na Rozbark” w ramach budżetu obywatelskiego </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659 580</w:t>
            </w:r>
          </w:p>
        </w:tc>
      </w:tr>
      <w:tr>
        <w:tblPrEx>
          <w:tblW w:w="0" w:type="auto"/>
          <w:tblInd w:w="55" w:type="dxa"/>
          <w:tblLook w:val="04A0"/>
        </w:tblPrEx>
        <w:trPr>
          <w:trHeight w:val="255"/>
        </w:trPr>
        <w:tc>
          <w:tcPr>
            <w:tcW w:w="0" w:type="auto"/>
            <w:tcBorders>
              <w:top w:val="single" w:sz="4" w:space="0" w:color="000000"/>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921</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Razem</w:t>
            </w:r>
          </w:p>
        </w:tc>
        <w:tc>
          <w:tcPr>
            <w:tcW w:w="0" w:type="auto"/>
            <w:tcBorders>
              <w:top w:val="single" w:sz="4" w:space="0" w:color="000000"/>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Kultura i ochrona dziedzictwa narodowego</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2 519 013</w:t>
            </w:r>
          </w:p>
        </w:tc>
      </w:tr>
      <w:tr>
        <w:tblPrEx>
          <w:tblW w:w="0" w:type="auto"/>
          <w:tblInd w:w="55" w:type="dxa"/>
          <w:tblLook w:val="04A0"/>
        </w:tblPrEx>
        <w:trPr>
          <w:trHeight w:val="510"/>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92120</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Dotacja dla Zakonu Braci Mniejszych – Franciszkanów Prowincji Wniebowzięcia Najświętszej Maryi Panny na realizację inwestycji pn. „Renowacja zabytkowego kościoła św. Wojciecha w Bytomiu, pl.</w:t>
            </w:r>
            <w:r>
              <w:rPr>
                <w:rFonts w:ascii="Czcionka tekstu podstawowego" w:eastAsia="Times New Roman" w:hAnsi="Czcionka tekstu podstawowego" w:cs="Times New Roman"/>
                <w:sz w:val="20"/>
                <w:szCs w:val="20"/>
                <w:u w:color="000000"/>
              </w:rPr>
              <w:t> </w:t>
            </w:r>
            <w:r>
              <w:rPr>
                <w:rFonts w:eastAsia="Times New Roman" w:cs="Times New Roman"/>
                <w:sz w:val="20"/>
                <w:szCs w:val="20"/>
                <w:u w:color="000000"/>
              </w:rPr>
              <w:t>Klasztorny 1”</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1 757 653</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92195</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Dotacje dla organizacji pozarządowych wybranych w trybie konkursu ofert na realizację:</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761 360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xml:space="preserve">zadań z zakresu kultury i sztuki </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391 360</w:t>
            </w:r>
          </w:p>
        </w:tc>
      </w:tr>
      <w:tr>
        <w:tblPrEx>
          <w:tblW w:w="0" w:type="auto"/>
          <w:tblInd w:w="55" w:type="dxa"/>
          <w:tblLook w:val="04A0"/>
        </w:tblPrEx>
        <w:trPr>
          <w:trHeight w:val="255"/>
        </w:trPr>
        <w:tc>
          <w:tcPr>
            <w:tcW w:w="0" w:type="auto"/>
            <w:tcBorders>
              <w:top w:val="nil"/>
              <w:left w:val="single" w:sz="4" w:space="0" w:color="000000"/>
              <w:bottom w:val="nil"/>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 </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 w:val="20"/>
                <w:szCs w:val="20"/>
                <w:u w:color="000000"/>
              </w:rPr>
            </w:pPr>
            <w:r>
              <w:rPr>
                <w:rFonts w:eastAsia="Times New Roman" w:cs="Times New Roman"/>
                <w:sz w:val="20"/>
                <w:szCs w:val="20"/>
                <w:u w:color="000000"/>
              </w:rPr>
              <w:t> </w:t>
            </w:r>
          </w:p>
        </w:tc>
        <w:tc>
          <w:tcPr>
            <w:tcW w:w="0" w:type="auto"/>
            <w:tcBorders>
              <w:top w:val="nil"/>
              <w:left w:val="nil"/>
              <w:bottom w:val="nil"/>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r>
              <w:rPr>
                <w:rFonts w:eastAsia="Times New Roman" w:cs="Times New Roman"/>
                <w:sz w:val="20"/>
                <w:szCs w:val="20"/>
                <w:u w:color="000000"/>
              </w:rPr>
              <w:t xml:space="preserve">projektu pn. „Kalejdoskop teatralny” w ramach budżetu obywatelskiego </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sz w:val="20"/>
                <w:szCs w:val="20"/>
                <w:u w:color="000000"/>
              </w:rPr>
            </w:pPr>
            <w:r>
              <w:rPr>
                <w:rFonts w:eastAsia="Times New Roman" w:cs="Times New Roman"/>
                <w:sz w:val="20"/>
                <w:szCs w:val="20"/>
                <w:u w:color="000000"/>
              </w:rPr>
              <w:t>370 000</w:t>
            </w:r>
          </w:p>
        </w:tc>
      </w:tr>
      <w:tr>
        <w:tblPrEx>
          <w:tblW w:w="0" w:type="auto"/>
          <w:tblInd w:w="55" w:type="dxa"/>
          <w:tblLook w:val="04A0"/>
        </w:tblPrEx>
        <w:trPr>
          <w:trHeight w:val="510"/>
        </w:trPr>
        <w:tc>
          <w:tcPr>
            <w:tcW w:w="0" w:type="auto"/>
            <w:tcBorders>
              <w:top w:val="single" w:sz="4" w:space="0" w:color="000000"/>
              <w:left w:val="single" w:sz="4" w:space="0" w:color="000000"/>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926</w:t>
            </w:r>
          </w:p>
        </w:tc>
        <w:tc>
          <w:tcPr>
            <w:tcW w:w="0" w:type="auto"/>
            <w:tcBorders>
              <w:top w:val="nil"/>
              <w:left w:val="nil"/>
              <w:bottom w:val="single" w:sz="4" w:space="0" w:color="000000"/>
              <w:right w:val="single" w:sz="4" w:space="0" w:color="000000"/>
            </w:tcBorders>
            <w:shd w:val="clear" w:color="000000" w:fill="FFFFFF"/>
            <w:noWrap/>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sz w:val="20"/>
                <w:szCs w:val="20"/>
                <w:u w:color="000000"/>
              </w:rPr>
            </w:pPr>
            <w:r>
              <w:rPr>
                <w:rFonts w:eastAsia="Times New Roman" w:cs="Times New Roman"/>
                <w:b/>
                <w:sz w:val="20"/>
                <w:szCs w:val="20"/>
                <w:u w:color="000000"/>
              </w:rPr>
              <w:t>92695</w:t>
            </w:r>
          </w:p>
        </w:tc>
        <w:tc>
          <w:tcPr>
            <w:tcW w:w="0" w:type="auto"/>
            <w:tcBorders>
              <w:top w:val="single" w:sz="4" w:space="0" w:color="000000"/>
              <w:left w:val="nil"/>
              <w:bottom w:val="single" w:sz="4" w:space="0" w:color="000000"/>
              <w:right w:val="single" w:sz="4" w:space="0" w:color="000000"/>
            </w:tcBorders>
            <w:shd w:val="clear" w:color="000000" w:fill="FFFFFF"/>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b/>
                <w:sz w:val="20"/>
                <w:szCs w:val="20"/>
                <w:u w:color="000000"/>
              </w:rPr>
            </w:pPr>
            <w:r>
              <w:rPr>
                <w:rFonts w:eastAsia="Times New Roman" w:cs="Times New Roman"/>
                <w:b/>
                <w:sz w:val="20"/>
                <w:szCs w:val="20"/>
                <w:u w:color="000000"/>
              </w:rPr>
              <w:t xml:space="preserve">Dotacje dla organizacji pozarządowych wybranych w trybie konkursu ofert na realizację zadań z zakresu kultury fizycznej i sportu </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0</w:t>
            </w:r>
          </w:p>
        </w:tc>
        <w:tc>
          <w:tcPr>
            <w:tcW w:w="0" w:type="auto"/>
            <w:tcBorders>
              <w:top w:val="nil"/>
              <w:left w:val="nil"/>
              <w:bottom w:val="single" w:sz="4" w:space="0" w:color="000000"/>
              <w:right w:val="single" w:sz="4" w:space="0" w:color="000000"/>
            </w:tcBorders>
            <w:noWrap/>
            <w:vAlign w:val="bottom"/>
            <w:hideMark/>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sz w:val="20"/>
                <w:szCs w:val="20"/>
                <w:u w:color="000000"/>
              </w:rPr>
            </w:pPr>
            <w:r>
              <w:rPr>
                <w:rFonts w:eastAsia="Times New Roman" w:cs="Times New Roman"/>
                <w:b/>
                <w:sz w:val="20"/>
                <w:szCs w:val="20"/>
                <w:u w:color="000000"/>
              </w:rPr>
              <w:t>530 000</w:t>
            </w:r>
          </w:p>
        </w:tc>
      </w:tr>
    </w:tbl>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 w:val="20"/>
          <w:szCs w:val="20"/>
          <w:u w:color="000000"/>
        </w:rPr>
        <w:sectPr>
          <w:footerReference w:type="default" r:id="rId8"/>
          <w:endnotePr>
            <w:numFmt w:val="decimal"/>
          </w:endnotePr>
          <w:type w:val="nextPage"/>
          <w:pgSz w:w="16838" w:h="11906" w:orient="landscape" w:code="0"/>
          <w:pgMar w:top="1560" w:right="1021" w:bottom="1021" w:left="1021" w:header="709" w:footer="709" w:gutter="0"/>
          <w:cols w:space="708"/>
        </w:sectPr>
      </w:pPr>
    </w:p>
    <w:p>
      <w:pPr>
        <w:keepNext w:val="0"/>
        <w:keepLines w:val="0"/>
        <w:widowControl/>
        <w:suppressLineNumbers w:val="0"/>
        <w:shd w:val="clear" w:color="auto" w:fill="auto"/>
        <w:suppressAutoHyphens w:val="0"/>
        <w:spacing w:before="280" w:beforeAutospacing="0" w:after="280" w:afterAutospacing="0" w:line="276" w:lineRule="auto"/>
        <w:ind w:left="4535" w:right="0" w:firstLine="0"/>
        <w:contextualSpacing w:val="0"/>
        <w:rPr>
          <w:rFonts w:eastAsia="Times New Roman" w:cs="Times New Roman"/>
          <w:b/>
          <w:color w:val="000000"/>
          <w:sz w:val="20"/>
          <w:szCs w:val="20"/>
          <w:u w:color="000000"/>
        </w:rPr>
      </w:pPr>
      <w:r>
        <w:rPr>
          <w:rFonts w:eastAsia="Times New Roman" w:cs="Times New Roman"/>
          <w:szCs w:val="20"/>
          <w:u w:color="000000"/>
        </w:rPr>
        <w:t>Załącznik nr 5 do uchwały</w:t>
      </w:r>
      <w:r>
        <w:rPr>
          <w:rFonts w:eastAsia="Times New Roman" w:cs="Times New Roman"/>
          <w:szCs w:val="20"/>
          <w:u w:color="000000"/>
        </w:rPr>
        <w:t xml:space="preserve"> nr XXXVI/331/26</w:t>
      </w:r>
      <w:r>
        <w:rPr>
          <w:rFonts w:eastAsia="Times New Roman" w:cs="Times New Roman"/>
          <w:b/>
          <w:color w:val="000000"/>
          <w:sz w:val="20"/>
          <w:szCs w:val="20"/>
          <w:u w:color="000000"/>
        </w:rPr>
        <w:br/>
      </w:r>
      <w:r>
        <w:rPr>
          <w:rFonts w:eastAsia="Times New Roman" w:cs="Times New Roman"/>
          <w:szCs w:val="20"/>
          <w:u w:color="000000"/>
        </w:rPr>
        <w:t>Rady Miejskiej w Bytomiu</w:t>
      </w:r>
      <w:r>
        <w:rPr>
          <w:rFonts w:eastAsia="Times New Roman" w:cs="Times New Roman"/>
          <w:b/>
          <w:color w:val="000000"/>
          <w:sz w:val="20"/>
          <w:szCs w:val="20"/>
          <w:u w:color="000000"/>
        </w:rPr>
        <w:br/>
      </w:r>
      <w:r>
        <w:rPr>
          <w:szCs w:val="20"/>
          <w:u w:color="000000"/>
        </w:rPr>
        <w:t>z dnia 31 sierpnia 2026 r.</w:t>
      </w:r>
    </w:p>
    <w:p>
      <w:pPr>
        <w:keepNext w:val="0"/>
        <w:keepLines w:val="0"/>
        <w:widowControl/>
        <w:suppressLineNumbers w:val="0"/>
        <w:shd w:val="clear" w:color="auto" w:fill="auto"/>
        <w:suppressAutoHyphens w:val="0"/>
        <w:spacing w:before="360" w:beforeAutospacing="0" w:after="240" w:afterAutospacing="0" w:line="240" w:lineRule="auto"/>
        <w:ind w:left="0" w:right="0" w:firstLine="0"/>
        <w:contextualSpacing w:val="0"/>
        <w:rPr>
          <w:rFonts w:eastAsia="Times New Roman" w:cs="Times New Roman"/>
          <w:b/>
          <w:sz w:val="20"/>
          <w:szCs w:val="20"/>
          <w:u w:color="000000"/>
        </w:rPr>
      </w:pPr>
      <w:r>
        <w:rPr>
          <w:rFonts w:eastAsia="Times New Roman" w:cs="Times New Roman"/>
          <w:b/>
          <w:color w:val="000000"/>
          <w:sz w:val="20"/>
          <w:szCs w:val="20"/>
          <w:u w:color="000000"/>
        </w:rPr>
        <w:t>PLAN WYDATKÓW NA REALIZACJĘ ZADAŃ W RAMACH BUDŻETU OBYWATELSKIEGO NA 2026 ROK</w:t>
      </w:r>
    </w:p>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sz w:val="20"/>
          <w:szCs w:val="20"/>
          <w:u w:color="000000"/>
        </w:rPr>
      </w:pPr>
      <w:r>
        <w:rPr>
          <w:rFonts w:eastAsia="Times New Roman" w:cs="Times New Roman"/>
          <w:sz w:val="20"/>
          <w:szCs w:val="20"/>
          <w:u w:color="000000"/>
        </w:rPr>
        <w:t>w złotych</w:t>
      </w:r>
    </w:p>
    <w:tbl>
      <w:tblPr>
        <w:tblStyle w:val="TableNormal"/>
        <w:tblW w:w="14910" w:type="dxa"/>
        <w:tblLayout w:type="fixed"/>
        <w:tblCellMar>
          <w:left w:w="30" w:type="dxa"/>
          <w:right w:w="30" w:type="dxa"/>
        </w:tblCellMar>
      </w:tblPr>
      <w:tblGrid>
        <w:gridCol w:w="12076"/>
        <w:gridCol w:w="1417"/>
        <w:gridCol w:w="1417"/>
      </w:tblGrid>
      <w:tr>
        <w:tblPrEx>
          <w:tblW w:w="14910" w:type="dxa"/>
          <w:tblLayout w:type="fixed"/>
        </w:tblPrEx>
        <w:trPr>
          <w:trHeight w:val="454"/>
        </w:trPr>
        <w:tc>
          <w:tcPr>
            <w:tcW w:w="12076" w:type="dxa"/>
            <w:tcBorders>
              <w:top w:val="single" w:sz="6" w:space="0" w:color="auto"/>
              <w:left w:val="single" w:sz="6" w:space="0" w:color="auto"/>
              <w:bottom w:val="single" w:sz="6" w:space="0" w:color="auto"/>
              <w:right w:val="single" w:sz="6" w:space="0" w:color="auto"/>
            </w:tcBorders>
            <w:shd w:val="clear" w:color="auto" w:fill="F2F2F2"/>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color w:val="000000"/>
                <w:sz w:val="20"/>
                <w:szCs w:val="20"/>
                <w:u w:color="000000"/>
              </w:rPr>
            </w:pPr>
            <w:r>
              <w:rPr>
                <w:rFonts w:eastAsia="Times New Roman" w:cs="Times New Roman"/>
                <w:b/>
                <w:color w:val="000000"/>
                <w:sz w:val="20"/>
                <w:szCs w:val="20"/>
                <w:u w:color="000000"/>
              </w:rPr>
              <w:t>Wyszczególnienie</w:t>
            </w:r>
          </w:p>
        </w:tc>
        <w:tc>
          <w:tcPr>
            <w:tcW w:w="1417" w:type="dxa"/>
            <w:tcBorders>
              <w:top w:val="single" w:sz="6" w:space="0" w:color="auto"/>
              <w:left w:val="single" w:sz="6" w:space="0" w:color="auto"/>
              <w:bottom w:val="single" w:sz="4" w:space="0" w:color="auto"/>
              <w:right w:val="single" w:sz="6" w:space="0" w:color="auto"/>
            </w:tcBorders>
            <w:shd w:val="clear" w:color="auto" w:fill="F2F2F2"/>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color w:val="000000"/>
                <w:sz w:val="20"/>
                <w:szCs w:val="20"/>
                <w:u w:color="000000"/>
              </w:rPr>
            </w:pPr>
            <w:r>
              <w:rPr>
                <w:rFonts w:eastAsia="Times New Roman" w:cs="Times New Roman"/>
                <w:b/>
                <w:color w:val="000000"/>
                <w:sz w:val="20"/>
                <w:szCs w:val="20"/>
                <w:u w:color="000000"/>
              </w:rPr>
              <w:t>Rozdział</w:t>
            </w:r>
          </w:p>
        </w:tc>
        <w:tc>
          <w:tcPr>
            <w:tcW w:w="1417" w:type="dxa"/>
            <w:tcBorders>
              <w:top w:val="single" w:sz="6" w:space="0" w:color="auto"/>
              <w:left w:val="single" w:sz="6" w:space="0" w:color="auto"/>
              <w:bottom w:val="single" w:sz="4" w:space="0" w:color="auto"/>
              <w:right w:val="single" w:sz="6" w:space="0" w:color="auto"/>
            </w:tcBorders>
            <w:shd w:val="clear" w:color="auto" w:fill="F2F2F2"/>
            <w:vAlign w:val="center"/>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b/>
                <w:color w:val="000000"/>
                <w:sz w:val="20"/>
                <w:szCs w:val="20"/>
                <w:u w:color="000000"/>
              </w:rPr>
            </w:pPr>
            <w:r>
              <w:rPr>
                <w:rFonts w:eastAsia="Times New Roman" w:cs="Times New Roman"/>
                <w:b/>
                <w:color w:val="000000"/>
                <w:sz w:val="20"/>
                <w:szCs w:val="20"/>
                <w:u w:color="000000"/>
              </w:rPr>
              <w:t>Kwota</w:t>
            </w:r>
          </w:p>
        </w:tc>
      </w:tr>
      <w:tr>
        <w:tblPrEx>
          <w:tblW w:w="14910" w:type="dxa"/>
          <w:tblLayout w:type="fixed"/>
        </w:tblPrEx>
        <w:trPr>
          <w:trHeight w:val="454"/>
        </w:trPr>
        <w:tc>
          <w:tcPr>
            <w:tcW w:w="12076" w:type="dxa"/>
            <w:tcBorders>
              <w:top w:val="single" w:sz="6" w:space="0" w:color="auto"/>
              <w:left w:val="single" w:sz="6" w:space="0" w:color="auto"/>
              <w:bottom w:val="single" w:sz="6" w:space="0" w:color="auto"/>
              <w:right w:val="single" w:sz="6"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b/>
                <w:sz w:val="20"/>
                <w:szCs w:val="20"/>
                <w:u w:color="000000"/>
              </w:rPr>
            </w:pPr>
            <w:r>
              <w:rPr>
                <w:rFonts w:eastAsia="Times New Roman" w:cs="Times New Roman"/>
                <w:b/>
                <w:sz w:val="20"/>
                <w:szCs w:val="20"/>
                <w:u w:color="000000"/>
              </w:rPr>
              <w:t>Razem:</w:t>
            </w:r>
          </w:p>
        </w:tc>
        <w:tc>
          <w:tcPr>
            <w:tcW w:w="1417" w:type="dxa"/>
            <w:tcBorders>
              <w:top w:val="single" w:sz="4" w:space="0" w:color="auto"/>
              <w:left w:val="single" w:sz="6" w:space="0" w:color="auto"/>
              <w:bottom w:val="single" w:sz="6" w:space="0" w:color="auto"/>
              <w:right w:val="single" w:sz="6"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b/>
                <w:sz w:val="20"/>
                <w:szCs w:val="20"/>
                <w:u w:color="000000"/>
              </w:rPr>
            </w:pPr>
            <w:r>
              <w:rPr>
                <w:rFonts w:eastAsia="Times New Roman" w:cs="Times New Roman"/>
                <w:b/>
                <w:sz w:val="20"/>
                <w:szCs w:val="20"/>
                <w:u w:color="000000"/>
              </w:rPr>
              <w:t> </w:t>
            </w:r>
          </w:p>
        </w:tc>
        <w:tc>
          <w:tcPr>
            <w:tcW w:w="1417" w:type="dxa"/>
            <w:tcBorders>
              <w:top w:val="single" w:sz="4" w:space="0" w:color="auto"/>
              <w:left w:val="single" w:sz="6" w:space="0" w:color="auto"/>
              <w:bottom w:val="single" w:sz="6" w:space="0" w:color="auto"/>
              <w:right w:val="single" w:sz="6" w:space="0" w:color="auto"/>
            </w:tcBorders>
            <w:shd w:val="clear" w:color="auto" w:fill="F2F2F2"/>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b/>
                <w:color w:val="000000"/>
                <w:sz w:val="20"/>
                <w:szCs w:val="20"/>
                <w:u w:color="000000"/>
              </w:rPr>
            </w:pPr>
            <w:r>
              <w:rPr>
                <w:rFonts w:eastAsia="Times New Roman" w:cs="Times New Roman"/>
                <w:b/>
                <w:color w:val="000000"/>
                <w:sz w:val="20"/>
                <w:szCs w:val="20"/>
                <w:u w:color="000000"/>
              </w:rPr>
              <w:t>4 817 928</w:t>
            </w:r>
          </w:p>
        </w:tc>
      </w:tr>
      <w:tr>
        <w:tblPrEx>
          <w:tblW w:w="14910" w:type="dxa"/>
          <w:tblLayout w:type="fixed"/>
        </w:tblPrEx>
        <w:trPr>
          <w:trHeight w:val="227"/>
        </w:trPr>
        <w:tc>
          <w:tcPr>
            <w:tcW w:w="12076"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Bezpieczna droga na Rozbark</w:t>
            </w:r>
          </w:p>
        </w:tc>
        <w:tc>
          <w:tcPr>
            <w:tcW w:w="1417"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90095</w:t>
            </w:r>
          </w:p>
        </w:tc>
        <w:tc>
          <w:tcPr>
            <w:tcW w:w="1417"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659 580</w:t>
            </w:r>
          </w:p>
        </w:tc>
      </w:tr>
      <w:tr>
        <w:tblPrEx>
          <w:tblW w:w="14910" w:type="dxa"/>
          <w:tblLayout w:type="fixed"/>
        </w:tblPrEx>
        <w:trPr>
          <w:trHeight w:val="227"/>
        </w:trPr>
        <w:tc>
          <w:tcPr>
            <w:tcW w:w="12076" w:type="dxa"/>
            <w:tcBorders>
              <w:top w:val="single" w:sz="6" w:space="0" w:color="auto"/>
              <w:left w:val="single" w:sz="6" w:space="0" w:color="auto"/>
              <w:bottom w:val="single" w:sz="4"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Bytomska strefa rekreacji i sportu</w:t>
            </w:r>
          </w:p>
        </w:tc>
        <w:tc>
          <w:tcPr>
            <w:tcW w:w="1417" w:type="dxa"/>
            <w:tcBorders>
              <w:top w:val="single" w:sz="6" w:space="0" w:color="auto"/>
              <w:left w:val="single" w:sz="6" w:space="0" w:color="auto"/>
              <w:bottom w:val="single" w:sz="4"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Razem</w:t>
            </w:r>
          </w:p>
        </w:tc>
        <w:tc>
          <w:tcPr>
            <w:tcW w:w="1417" w:type="dxa"/>
            <w:tcBorders>
              <w:top w:val="single" w:sz="6" w:space="0" w:color="auto"/>
              <w:left w:val="single" w:sz="6" w:space="0" w:color="auto"/>
              <w:bottom w:val="single" w:sz="4"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1 385 045</w:t>
            </w:r>
          </w:p>
        </w:tc>
      </w:tr>
      <w:tr>
        <w:tblPrEx>
          <w:tblW w:w="14910" w:type="dxa"/>
          <w:tblLayout w:type="fixed"/>
        </w:tblPrEx>
        <w:trPr>
          <w:trHeight w:val="227"/>
        </w:trPr>
        <w:tc>
          <w:tcPr>
            <w:tcW w:w="12076" w:type="dxa"/>
            <w:tcBorders>
              <w:top w:val="single" w:sz="4" w:space="0" w:color="auto"/>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 </w:t>
            </w:r>
          </w:p>
        </w:tc>
        <w:tc>
          <w:tcPr>
            <w:tcW w:w="1417" w:type="dxa"/>
            <w:tcBorders>
              <w:top w:val="single" w:sz="4" w:space="0" w:color="auto"/>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w tym:</w:t>
            </w:r>
          </w:p>
        </w:tc>
        <w:tc>
          <w:tcPr>
            <w:tcW w:w="1417" w:type="dxa"/>
            <w:tcBorders>
              <w:top w:val="single" w:sz="4" w:space="0" w:color="auto"/>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p>
        </w:tc>
      </w:tr>
      <w:tr>
        <w:tblPrEx>
          <w:tblW w:w="14910" w:type="dxa"/>
          <w:tblLayout w:type="fixed"/>
        </w:tblPrEx>
        <w:trPr>
          <w:trHeight w:val="227"/>
        </w:trPr>
        <w:tc>
          <w:tcPr>
            <w:tcW w:w="12076"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 </w:t>
            </w:r>
          </w:p>
        </w:tc>
        <w:tc>
          <w:tcPr>
            <w:tcW w:w="1417"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90095</w:t>
            </w:r>
          </w:p>
        </w:tc>
        <w:tc>
          <w:tcPr>
            <w:tcW w:w="1417"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846 445</w:t>
            </w:r>
          </w:p>
        </w:tc>
      </w:tr>
      <w:tr>
        <w:tblPrEx>
          <w:tblW w:w="14910" w:type="dxa"/>
          <w:tblLayout w:type="fixed"/>
        </w:tblPrEx>
        <w:trPr>
          <w:trHeight w:val="227"/>
        </w:trPr>
        <w:tc>
          <w:tcPr>
            <w:tcW w:w="12076" w:type="dxa"/>
            <w:tcBorders>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 </w:t>
            </w:r>
          </w:p>
        </w:tc>
        <w:tc>
          <w:tcPr>
            <w:tcW w:w="1417" w:type="dxa"/>
            <w:tcBorders>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92695</w:t>
            </w:r>
          </w:p>
        </w:tc>
        <w:tc>
          <w:tcPr>
            <w:tcW w:w="1417" w:type="dxa"/>
            <w:tcBorders>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538 600</w:t>
            </w:r>
          </w:p>
        </w:tc>
      </w:tr>
      <w:tr>
        <w:tblPrEx>
          <w:tblW w:w="14910" w:type="dxa"/>
          <w:tblLayout w:type="fixed"/>
        </w:tblPrEx>
        <w:trPr>
          <w:trHeight w:val="227"/>
        </w:trPr>
        <w:tc>
          <w:tcPr>
            <w:tcW w:w="12076"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Kalejdoskop teatralny</w:t>
            </w:r>
          </w:p>
        </w:tc>
        <w:tc>
          <w:tcPr>
            <w:tcW w:w="1417"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92195</w:t>
            </w:r>
          </w:p>
        </w:tc>
        <w:tc>
          <w:tcPr>
            <w:tcW w:w="1417"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370 000</w:t>
            </w:r>
          </w:p>
        </w:tc>
      </w:tr>
      <w:tr>
        <w:tblPrEx>
          <w:tblW w:w="14910" w:type="dxa"/>
          <w:tblLayout w:type="fixed"/>
        </w:tblPrEx>
        <w:trPr>
          <w:trHeight w:val="227"/>
        </w:trPr>
        <w:tc>
          <w:tcPr>
            <w:tcW w:w="12076"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Knajfeld – gramy dalej</w:t>
            </w:r>
          </w:p>
        </w:tc>
        <w:tc>
          <w:tcPr>
            <w:tcW w:w="1417"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80101</w:t>
            </w:r>
          </w:p>
        </w:tc>
        <w:tc>
          <w:tcPr>
            <w:tcW w:w="1417"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713 426</w:t>
            </w:r>
          </w:p>
        </w:tc>
      </w:tr>
      <w:tr>
        <w:tblPrEx>
          <w:tblW w:w="14910" w:type="dxa"/>
          <w:tblLayout w:type="fixed"/>
        </w:tblPrEx>
        <w:trPr>
          <w:trHeight w:val="227"/>
        </w:trPr>
        <w:tc>
          <w:tcPr>
            <w:tcW w:w="12076"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Parking dla szombierskiego cmentarza</w:t>
            </w:r>
          </w:p>
        </w:tc>
        <w:tc>
          <w:tcPr>
            <w:tcW w:w="1417"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60017</w:t>
            </w:r>
          </w:p>
        </w:tc>
        <w:tc>
          <w:tcPr>
            <w:tcW w:w="1417"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369 799</w:t>
            </w:r>
          </w:p>
        </w:tc>
      </w:tr>
      <w:tr>
        <w:tblPrEx>
          <w:tblW w:w="14910" w:type="dxa"/>
          <w:tblLayout w:type="fixed"/>
        </w:tblPrEx>
        <w:trPr>
          <w:trHeight w:val="227"/>
        </w:trPr>
        <w:tc>
          <w:tcPr>
            <w:tcW w:w="12076" w:type="dxa"/>
            <w:tcBorders>
              <w:top w:val="single" w:sz="6" w:space="0" w:color="auto"/>
              <w:left w:val="single" w:sz="6" w:space="0" w:color="auto"/>
              <w:bottom w:val="single" w:sz="4"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Razem dla Stolarzowic i Górnik</w:t>
            </w:r>
          </w:p>
        </w:tc>
        <w:tc>
          <w:tcPr>
            <w:tcW w:w="1417" w:type="dxa"/>
            <w:tcBorders>
              <w:top w:val="single" w:sz="6" w:space="0" w:color="auto"/>
              <w:left w:val="single" w:sz="6" w:space="0" w:color="auto"/>
              <w:bottom w:val="single" w:sz="4"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Razem</w:t>
            </w:r>
          </w:p>
        </w:tc>
        <w:tc>
          <w:tcPr>
            <w:tcW w:w="1417" w:type="dxa"/>
            <w:tcBorders>
              <w:top w:val="single" w:sz="6" w:space="0" w:color="auto"/>
              <w:left w:val="single" w:sz="6" w:space="0" w:color="auto"/>
              <w:bottom w:val="single" w:sz="4"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699 999</w:t>
            </w:r>
          </w:p>
        </w:tc>
      </w:tr>
      <w:tr>
        <w:tblPrEx>
          <w:tblW w:w="14910" w:type="dxa"/>
          <w:tblLayout w:type="fixed"/>
        </w:tblPrEx>
        <w:trPr>
          <w:trHeight w:val="227"/>
        </w:trPr>
        <w:tc>
          <w:tcPr>
            <w:tcW w:w="12076" w:type="dxa"/>
            <w:tcBorders>
              <w:top w:val="single" w:sz="4" w:space="0" w:color="auto"/>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 </w:t>
            </w:r>
          </w:p>
        </w:tc>
        <w:tc>
          <w:tcPr>
            <w:tcW w:w="1417" w:type="dxa"/>
            <w:tcBorders>
              <w:top w:val="single" w:sz="4" w:space="0" w:color="auto"/>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w tym:</w:t>
            </w:r>
          </w:p>
        </w:tc>
        <w:tc>
          <w:tcPr>
            <w:tcW w:w="1417" w:type="dxa"/>
            <w:tcBorders>
              <w:top w:val="single" w:sz="4" w:space="0" w:color="auto"/>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p>
        </w:tc>
      </w:tr>
      <w:tr>
        <w:tblPrEx>
          <w:tblW w:w="14910" w:type="dxa"/>
          <w:tblLayout w:type="fixed"/>
        </w:tblPrEx>
        <w:trPr>
          <w:trHeight w:val="227"/>
        </w:trPr>
        <w:tc>
          <w:tcPr>
            <w:tcW w:w="12076"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sz w:val="20"/>
                <w:szCs w:val="20"/>
                <w:u w:color="000000"/>
              </w:rPr>
            </w:pPr>
            <w:r>
              <w:rPr>
                <w:rFonts w:eastAsia="Times New Roman" w:cs="Times New Roman"/>
                <w:sz w:val="20"/>
                <w:szCs w:val="20"/>
                <w:u w:color="000000"/>
              </w:rPr>
              <w:t> </w:t>
            </w:r>
          </w:p>
        </w:tc>
        <w:tc>
          <w:tcPr>
            <w:tcW w:w="1417"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75412</w:t>
            </w:r>
          </w:p>
        </w:tc>
        <w:tc>
          <w:tcPr>
            <w:tcW w:w="1417"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199 999</w:t>
            </w:r>
          </w:p>
        </w:tc>
      </w:tr>
      <w:tr>
        <w:tblPrEx>
          <w:tblW w:w="14910" w:type="dxa"/>
          <w:tblLayout w:type="fixed"/>
        </w:tblPrEx>
        <w:trPr>
          <w:trHeight w:val="227"/>
        </w:trPr>
        <w:tc>
          <w:tcPr>
            <w:tcW w:w="12076"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sz w:val="20"/>
                <w:szCs w:val="20"/>
                <w:u w:color="000000"/>
              </w:rPr>
            </w:pPr>
            <w:r>
              <w:rPr>
                <w:rFonts w:eastAsia="Times New Roman" w:cs="Times New Roman"/>
                <w:sz w:val="20"/>
                <w:szCs w:val="20"/>
                <w:u w:color="000000"/>
              </w:rPr>
              <w:t> </w:t>
            </w:r>
          </w:p>
        </w:tc>
        <w:tc>
          <w:tcPr>
            <w:tcW w:w="1417"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80101</w:t>
            </w:r>
          </w:p>
        </w:tc>
        <w:tc>
          <w:tcPr>
            <w:tcW w:w="1417"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200 000</w:t>
            </w:r>
          </w:p>
        </w:tc>
      </w:tr>
      <w:tr>
        <w:tblPrEx>
          <w:tblW w:w="14910" w:type="dxa"/>
          <w:tblLayout w:type="fixed"/>
        </w:tblPrEx>
        <w:trPr>
          <w:trHeight w:val="227"/>
        </w:trPr>
        <w:tc>
          <w:tcPr>
            <w:tcW w:w="12076"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sz w:val="20"/>
                <w:szCs w:val="20"/>
                <w:u w:color="000000"/>
              </w:rPr>
            </w:pPr>
            <w:r>
              <w:rPr>
                <w:rFonts w:eastAsia="Times New Roman" w:cs="Times New Roman"/>
                <w:sz w:val="20"/>
                <w:szCs w:val="20"/>
                <w:u w:color="000000"/>
              </w:rPr>
              <w:t> </w:t>
            </w:r>
          </w:p>
        </w:tc>
        <w:tc>
          <w:tcPr>
            <w:tcW w:w="1417"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80104</w:t>
            </w:r>
          </w:p>
        </w:tc>
        <w:tc>
          <w:tcPr>
            <w:tcW w:w="1417" w:type="dxa"/>
            <w:tcBorders>
              <w:left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100 000</w:t>
            </w:r>
          </w:p>
        </w:tc>
      </w:tr>
      <w:tr>
        <w:tblPrEx>
          <w:tblW w:w="14910" w:type="dxa"/>
          <w:tblLayout w:type="fixed"/>
        </w:tblPrEx>
        <w:trPr>
          <w:trHeight w:val="227"/>
        </w:trPr>
        <w:tc>
          <w:tcPr>
            <w:tcW w:w="12076" w:type="dxa"/>
            <w:tcBorders>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right"/>
              <w:rPr>
                <w:rFonts w:eastAsia="Times New Roman" w:cs="Times New Roman"/>
                <w:sz w:val="20"/>
                <w:szCs w:val="20"/>
                <w:u w:color="000000"/>
              </w:rPr>
            </w:pPr>
            <w:r>
              <w:rPr>
                <w:rFonts w:eastAsia="Times New Roman" w:cs="Times New Roman"/>
                <w:sz w:val="20"/>
                <w:szCs w:val="20"/>
                <w:u w:color="000000"/>
              </w:rPr>
              <w:t> </w:t>
            </w:r>
          </w:p>
        </w:tc>
        <w:tc>
          <w:tcPr>
            <w:tcW w:w="1417" w:type="dxa"/>
            <w:tcBorders>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92695</w:t>
            </w:r>
          </w:p>
        </w:tc>
        <w:tc>
          <w:tcPr>
            <w:tcW w:w="1417" w:type="dxa"/>
            <w:tcBorders>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200 000</w:t>
            </w:r>
          </w:p>
        </w:tc>
      </w:tr>
      <w:tr>
        <w:tblPrEx>
          <w:tblW w:w="14910" w:type="dxa"/>
          <w:tblLayout w:type="fixed"/>
        </w:tblPrEx>
        <w:trPr>
          <w:trHeight w:val="227"/>
        </w:trPr>
        <w:tc>
          <w:tcPr>
            <w:tcW w:w="12076"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 w:val="20"/>
                <w:szCs w:val="20"/>
                <w:u w:color="000000"/>
              </w:rPr>
            </w:pPr>
            <w:r>
              <w:rPr>
                <w:rFonts w:eastAsia="Times New Roman" w:cs="Times New Roman"/>
                <w:sz w:val="20"/>
                <w:szCs w:val="20"/>
                <w:u w:color="000000"/>
              </w:rPr>
              <w:t>Rozbark na plus – lepsze boiska, więcej energii</w:t>
            </w:r>
          </w:p>
        </w:tc>
        <w:tc>
          <w:tcPr>
            <w:tcW w:w="1417"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jc w:val="center"/>
              <w:rPr>
                <w:rFonts w:eastAsia="Times New Roman" w:cs="Times New Roman"/>
                <w:sz w:val="20"/>
                <w:szCs w:val="20"/>
                <w:u w:color="000000"/>
              </w:rPr>
            </w:pPr>
            <w:r>
              <w:rPr>
                <w:rFonts w:eastAsia="Times New Roman" w:cs="Times New Roman"/>
                <w:sz w:val="20"/>
                <w:szCs w:val="20"/>
                <w:u w:color="000000"/>
              </w:rPr>
              <w:t>92695</w:t>
            </w:r>
          </w:p>
        </w:tc>
        <w:tc>
          <w:tcPr>
            <w:tcW w:w="1417" w:type="dxa"/>
            <w:tcBorders>
              <w:top w:val="single" w:sz="6" w:space="0" w:color="auto"/>
              <w:left w:val="single" w:sz="6" w:space="0" w:color="auto"/>
              <w:bottom w:val="single" w:sz="6" w:space="0" w:color="auto"/>
              <w:right w:val="single" w:sz="6" w:space="0" w:color="auto"/>
            </w:tcBorders>
            <w:vAlign w:val="bottom"/>
          </w:tcPr>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right"/>
              <w:rPr>
                <w:rFonts w:eastAsia="Times New Roman" w:cs="Times New Roman"/>
                <w:color w:val="000000"/>
                <w:sz w:val="20"/>
                <w:szCs w:val="20"/>
                <w:u w:color="000000"/>
              </w:rPr>
            </w:pPr>
            <w:r>
              <w:rPr>
                <w:rFonts w:eastAsia="Times New Roman" w:cs="Times New Roman"/>
                <w:color w:val="000000"/>
                <w:sz w:val="20"/>
                <w:szCs w:val="20"/>
                <w:u w:color="000000"/>
              </w:rPr>
              <w:t>620 079</w:t>
            </w:r>
          </w:p>
        </w:tc>
      </w:tr>
    </w:tbl>
    <w:p>
      <w:pPr>
        <w:keepNext w:val="0"/>
        <w:keepLines w:val="0"/>
        <w:widowControl/>
        <w:suppressLineNumbers w:val="0"/>
        <w:shd w:val="clear" w:color="auto" w:fill="auto"/>
        <w:suppressAutoHyphens w:val="0"/>
        <w:spacing w:before="0" w:beforeAutospacing="0" w:after="0" w:afterAutospacing="0" w:line="240" w:lineRule="auto"/>
        <w:ind w:left="340" w:right="0" w:hanging="340"/>
        <w:contextualSpacing w:val="0"/>
        <w:rPr>
          <w:rFonts w:eastAsia="Times New Roman" w:cs="Times New Roman"/>
          <w:szCs w:val="20"/>
          <w:u w:color="000000"/>
        </w:rPr>
        <w:sectPr>
          <w:footerReference w:type="default" r:id="rId9"/>
          <w:endnotePr>
            <w:numFmt w:val="decimal"/>
          </w:endnotePr>
          <w:type w:val="nextPage"/>
          <w:pgSz w:w="16838" w:h="11906" w:orient="landscape" w:code="0"/>
          <w:pgMar w:top="1418" w:right="1021" w:bottom="1021" w:left="1021" w:header="709" w:footer="709" w:gutter="0"/>
          <w:cols w:space="708"/>
        </w:sect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Cs w:val="20"/>
        </w:rPr>
      </w:pPr>
      <w:r>
        <w:rPr>
          <w:rFonts w:eastAsia="Times New Roman" w:cs="Times New Roman"/>
          <w:caps/>
          <w:szCs w:val="20"/>
        </w:rPr>
        <w:t>Uzasadnienie</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szCs w:val="20"/>
        </w:rPr>
      </w:pPr>
      <w:r>
        <w:rPr>
          <w:rFonts w:eastAsia="Times New Roman" w:cs="Times New Roman"/>
          <w:szCs w:val="20"/>
        </w:rPr>
        <w:t>W uchwale dokonuje się zmian budżetu miasta Bytomia na 2026 rok po stronie zaplanowanych przychodów, dochodów, wydatków i rozchodów budżetowych.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szCs w:val="20"/>
          <w:u w:val="single"/>
        </w:rPr>
        <w:t>Po stronie przychodów</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xml:space="preserve">– </w:t>
      </w:r>
      <w:r>
        <w:rPr>
          <w:rFonts w:eastAsia="Times New Roman" w:cs="Times New Roman"/>
          <w:color w:val="000000"/>
          <w:szCs w:val="20"/>
          <w:u w:color="000000"/>
        </w:rPr>
        <w:t>w zakresie</w:t>
      </w:r>
      <w:r>
        <w:rPr>
          <w:rFonts w:eastAsia="Times New Roman" w:cs="Times New Roman"/>
          <w:color w:val="000000"/>
          <w:szCs w:val="20"/>
          <w:u w:color="000000"/>
        </w:rPr>
        <w:t xml:space="preserve"> niewykorzystanych w roku ubiegłym środków pieniężnych pozostałych na rachunku bieżącym budżetu miasta:</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zmniejsza się plan o kwotę 304 639 zł, wynikającą z rozliczenia środków otrzymanych z Funduszy Europejskich dla Śląskiego i budżetu państwa na realizację programów pn. „Nowe kwalifikacje zawodowe szansą na sukces” (5 zł) oraz „Biznes na zicher – 100 tysięcy na start” (304 634 zł),</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zwiększa się plan o kwotę 16 671 zł, wynikającą z rozliczenia środków z Fundacji Rozwoju Systemu Edukacji, Funduszu Wyszehradzkiego i budżetu państwa, przeznaczonych na realizację projektów pn. „Licealna Akademia Umiejętności” (10 zł), „Zagraniczne mobilności zawodowe dla uczniów i kadry Zespołu Szkół Technicznych” (960 zł), „Otwarte umysły – Otwarta przyszłość – zawodowe szkolenia dla społeczności szkolnej” (10 650 zł) oraz „Niech historia łączy a nie dzieli nas” (5 051 zł),</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xml:space="preserve">– </w:t>
      </w:r>
      <w:r>
        <w:rPr>
          <w:rFonts w:eastAsia="Times New Roman" w:cs="Times New Roman"/>
          <w:color w:val="000000"/>
          <w:szCs w:val="20"/>
          <w:u w:color="000000"/>
        </w:rPr>
        <w:t>w zakresie</w:t>
      </w:r>
      <w:r>
        <w:rPr>
          <w:rFonts w:eastAsia="Times New Roman" w:cs="Times New Roman"/>
          <w:color w:val="000000"/>
          <w:szCs w:val="20"/>
          <w:u w:color="000000"/>
        </w:rPr>
        <w:t xml:space="preserve"> zaciągniętych pożyczek i kredytów oraz wyemitowanych papierów wartościowych na spłatę wcześniej zaciągniętych zobowiązań</w:t>
      </w:r>
      <w:r>
        <w:rPr>
          <w:rFonts w:eastAsia="Times New Roman" w:cs="Times New Roman"/>
          <w:color w:val="000000"/>
          <w:szCs w:val="20"/>
          <w:u w:color="000000"/>
        </w:rPr>
        <w:t>,</w:t>
      </w:r>
      <w:r>
        <w:rPr>
          <w:rFonts w:eastAsia="Times New Roman" w:cs="Times New Roman"/>
          <w:color w:val="000000"/>
          <w:szCs w:val="20"/>
          <w:u w:color="000000"/>
        </w:rPr>
        <w:t xml:space="preserve"> zwiększa się plan łącznie o kwotę 183 325 582 zł w związku z planowaną emisją obligacji z przeznaczeniem na spłatę wcześniej zaciągniętych zobowiązań </w:t>
      </w:r>
      <w:r>
        <w:rPr>
          <w:rFonts w:eastAsia="Times New Roman" w:cs="Times New Roman"/>
          <w:color w:val="000000"/>
          <w:szCs w:val="20"/>
          <w:u w:color="000000"/>
        </w:rPr>
        <w:t xml:space="preserve">w kwocie 80 000 000 zł </w:t>
      </w:r>
      <w:r>
        <w:rPr>
          <w:rFonts w:eastAsia="Times New Roman" w:cs="Times New Roman"/>
          <w:color w:val="000000"/>
          <w:szCs w:val="20"/>
          <w:u w:color="000000"/>
        </w:rPr>
        <w:t xml:space="preserve">oraz </w:t>
      </w:r>
      <w:r>
        <w:rPr>
          <w:rFonts w:eastAsia="Times New Roman" w:cs="Times New Roman"/>
          <w:color w:val="000000"/>
          <w:szCs w:val="20"/>
          <w:u w:color="000000"/>
        </w:rPr>
        <w:t xml:space="preserve">planowanym </w:t>
      </w:r>
      <w:r>
        <w:rPr>
          <w:rFonts w:eastAsia="Times New Roman" w:cs="Times New Roman"/>
          <w:color w:val="000000"/>
          <w:szCs w:val="20"/>
          <w:u w:color="000000"/>
        </w:rPr>
        <w:t>zaciągnięciem pożyczki bankowej długoterminowej</w:t>
      </w:r>
      <w:r>
        <w:rPr>
          <w:rFonts w:eastAsia="Times New Roman" w:cs="Times New Roman"/>
          <w:color w:val="000000"/>
          <w:szCs w:val="20"/>
          <w:u w:color="000000"/>
        </w:rPr>
        <w:t xml:space="preserve"> z przeznaczeniem </w:t>
      </w:r>
      <w:r>
        <w:rPr>
          <w:rFonts w:eastAsia="Times New Roman" w:cs="Times New Roman"/>
          <w:color w:val="000000"/>
          <w:szCs w:val="20"/>
          <w:u w:color="000000"/>
        </w:rPr>
        <w:t xml:space="preserve">na spłatę kredytu </w:t>
      </w:r>
      <w:r>
        <w:rPr>
          <w:rFonts w:eastAsia="Times New Roman" w:cs="Times New Roman"/>
          <w:color w:val="000000"/>
          <w:szCs w:val="20"/>
          <w:u w:color="000000"/>
        </w:rPr>
        <w:t xml:space="preserve">zaciągniętego </w:t>
      </w:r>
      <w:r>
        <w:rPr>
          <w:rFonts w:eastAsia="Times New Roman" w:cs="Times New Roman"/>
          <w:color w:val="000000"/>
          <w:szCs w:val="20"/>
          <w:u w:color="000000"/>
        </w:rPr>
        <w:t>w Europejskim Banku Inwestycyjnym</w:t>
      </w:r>
      <w:r>
        <w:rPr>
          <w:rFonts w:eastAsia="Times New Roman" w:cs="Times New Roman"/>
          <w:color w:val="000000"/>
          <w:szCs w:val="20"/>
          <w:u w:color="000000"/>
        </w:rPr>
        <w:t xml:space="preserve"> w kwocie 103 325 582 zł</w:t>
      </w:r>
      <w:r>
        <w:rPr>
          <w:rFonts w:eastAsia="Times New Roman" w:cs="Times New Roman"/>
          <w:color w:val="000000"/>
          <w:szCs w:val="20"/>
          <w:u w:color="000000"/>
        </w:rPr>
        <w:t>.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val="single" w:color="000000"/>
        </w:rPr>
        <w:t>Po stronie dochodów</w:t>
      </w:r>
      <w:r>
        <w:rPr>
          <w:rFonts w:eastAsia="Times New Roman" w:cs="Times New Roman"/>
          <w:color w:val="000000"/>
          <w:szCs w:val="20"/>
          <w:u w:color="000000"/>
        </w:rPr>
        <w:t>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val="single" w:color="000000"/>
        </w:rPr>
        <w:t>w zakresie zadań własnych gminy</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600 zwiększa się o kwotę 16 800 zł plan w Miejskim Zarządzie Dróg i Mostów z tytułu wpływów za dzierżawę i użyczenie dróg wewnętrznych stanowiących własność gminy;</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758 zwiększa się plan o kwotę 2 497 945 zł w związku z pismem Ministra Finansów i Gospodarki nr ST5.4751.1.2026.2m z dnia 18 sierpnia br. w sprawie przyznania miastu środków rezerwy budżetu państwa na uzupełnienie dochodów jednostek samorządu terytorialnego;</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900 zwiększa się o kwotę 5 900 zł plan w Miejskim Zarządzie Dróg i Mostów z tytułu sprzedaży złomu,</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val="single" w:color="000000"/>
        </w:rPr>
        <w:t>w zakresie zadań własnych powiatu</w:t>
      </w:r>
      <w:r>
        <w:rPr>
          <w:rFonts w:eastAsia="Times New Roman" w:cs="Times New Roman"/>
          <w:color w:val="000000"/>
          <w:szCs w:val="20"/>
          <w:u w:color="000000"/>
        </w:rPr>
        <w:t>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600 zwiększa się o kwotę 50 676 zł plan w Miejskim Zarządzie Dróg i Mostów z tytułu zatrzymania wadium;</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801, w celu dostosowania planu do właściwego podziału w zakresie przychodów i dochodów budżetowych:</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zmniejsza się łącznie o kwotę 16 671 zł plan środków otrzymanych z Fundacji Rozwoju Systemu Edukacji w ramach programu Erasmus+ w kwocie 11 610 zł na realizację zadań pn. „Zagraniczne mobilności zawodowe dla uczniów i kadry Zespołu Szkół Technicznych” (960 zł) i „Otwarte umysły – Otwarta przyszłość – zawodowe szkolenia dla społeczności szkolnej” (10 650 zł), Funduszu Wyszehradzkiego w kwocie 5 051 zł – „Niech historia łączy a nie dzieli nas”, a także budżetu państwa w kwocie 10 zł – „Licealna Akademia Umiejętności”,</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zwiększa się o kwotę 5 zł z plan środków otrzymanych z Funduszy Europejskich dla Śląskiego i budżetu państwa na realizację projektu pn. „Nowe kwalifikacje zawodowe szansą na sukces”.</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val="single" w:color="000000"/>
        </w:rPr>
        <w:t>Po stronie wydatków</w:t>
      </w:r>
      <w:r>
        <w:rPr>
          <w:rFonts w:eastAsia="Times New Roman" w:cs="Times New Roman"/>
          <w:color w:val="000000"/>
          <w:szCs w:val="20"/>
          <w:u w:color="000000"/>
        </w:rPr>
        <w:t>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val="single" w:color="000000"/>
        </w:rPr>
        <w:t>w zakresie zadań własnych gminy</w:t>
      </w:r>
      <w:r>
        <w:rPr>
          <w:rFonts w:eastAsia="Times New Roman" w:cs="Times New Roman"/>
          <w:color w:val="000000"/>
          <w:szCs w:val="20"/>
          <w:u w:color="000000"/>
        </w:rPr>
        <w:t>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600:</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Wydziale Transportu,</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60004 zmniejsza się plan o kwotę 40 111 237 zł w związku z decyzją nr FN.3156.8.2026 Przewodniczącego Zarządu Górnośląsko-Zagłębiowskiej Metropolii z dnia 29 lipca 2026 r. w sprawie odroczenia do 30 czerwca 2027 r. terminu płatności rat zaliczki na poczet części zmiennej składki rocznej miasta Bytomia jako gminy członkowskiej na organizację publicznego transportu zbiorowego na terenie miasta, za okres od lipca do grudnia 2026 roku,</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Miejskim Zarządzie Dróg i Mostów zwiększa się plan łącznie o kwotę 1 257 941 zł, z tego:</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60016 i 60017 łącznie o kwotę 394 941 zł, w tym:</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xml:space="preserve">o 87 941 zł w związku z </w:t>
      </w:r>
      <w:r>
        <w:rPr>
          <w:rFonts w:eastAsia="Times New Roman" w:cs="Times New Roman"/>
          <w:color w:val="000000"/>
          <w:szCs w:val="20"/>
          <w:u w:color="000000"/>
        </w:rPr>
        <w:t xml:space="preserve">koniecznością wypłaty odszkodowań w ramach </w:t>
      </w:r>
      <w:r>
        <w:rPr>
          <w:rFonts w:eastAsia="Times New Roman" w:cs="Times New Roman"/>
          <w:color w:val="000000"/>
          <w:szCs w:val="20"/>
          <w:u w:color="000000"/>
        </w:rPr>
        <w:t>realizacj</w:t>
      </w:r>
      <w:r>
        <w:rPr>
          <w:rFonts w:eastAsia="Times New Roman" w:cs="Times New Roman"/>
          <w:color w:val="000000"/>
          <w:szCs w:val="20"/>
          <w:u w:color="000000"/>
        </w:rPr>
        <w:t xml:space="preserve">i </w:t>
      </w:r>
      <w:r>
        <w:rPr>
          <w:rFonts w:eastAsia="Times New Roman" w:cs="Times New Roman"/>
          <w:color w:val="000000"/>
          <w:szCs w:val="20"/>
          <w:u w:color="000000"/>
        </w:rPr>
        <w:t>inwestycji pn. „Przebudowa ul. Cyryla i Metodego – etap I”,</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o 307 000 zł w zakresie bieżących remontów dróg gminnych (287 000 zł) i wewnętrznych (20 000 zł),</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60020 i 60021 łącznie o 863 000 zł z przeznaczeniem na utrzymanie czystości na przystankach komunikacji miejskiej (452 000 zł) oraz dworcu autobusowym (411 000 zł);</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700, rozdz. 70007 zwiększa się o kwotę 3 885 000 zł plan w Bytomskich Mieszkaniach w celu opłacenia zaliczek wnoszonych do zarządców wspólnot mieszkaniowych;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757, rozdz. 75702 zwiększa się o kwotę 900 000 zł plan w Wydziale Analiz, Operacji Finansowych i Rozliczeń Podatku VAT na dofinansowanie kosztów odsetek od wyemitowanych obligacji oraz zaciągniętych kredytów;</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801, rozdz. 80195 zwiększa się o kwotę 12 172 727 zł plan w Wydziale Edukacji z przeznaczeniem na wynagrodzenia dla nauczycieli bytomskich placówek oświatowych;</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900 zwiększa się plan łącznie o kwotę 9 094 197 zł, z tego: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Miejskim Zarządzie Dróg i Mostów o kwotę 4 855 676 zł, w tym:</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90001 o kwotę 87 300 zł w celu ogłoszenia postępowania przetargowego na opracowanie dokumentacji projektowej zadania pn. „Stabilizacja warunków wodnych na terenie Zespołu przyrodniczo-krajobrazowego Żabie Doły i otoczeniu”,</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90003, 90004 oraz 90095 łącznie o kwotę 4 695 000 zł z przeznaczeniem na utrzymanie czystości i pielęgnację zieleni na terenach gminnych,</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90015 o kwotę 61 376 zł w w zakresie utrzymania i konserwacji oświetlenia,</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90017 o kwotę 12 000 zł w celu uzupełnienia planu wydatków dotyczących umów zlecenia,</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Wydziale Inżynierii Środowiska o kwotę 138 521 zł, z tego:</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90001 o 46 360 zł z przeznaczeniem na sfinansowanie kosztów ujawnienia w ulicy Łokietka istniejącej infrastruktury deszczowej i uregulowania stanu prawnego w celu zapewnienia prawidłowego odprowadzania wód opadowych i roztopowych (39 360 zł), a także sporządzenia opinii biegłego hydrologa w sprawie dotyczącej</w:t>
      </w:r>
      <w:r>
        <w:rPr>
          <w:rFonts w:eastAsia="Times New Roman" w:cs="Times New Roman"/>
          <w:color w:val="000000"/>
          <w:szCs w:val="20"/>
          <w:u w:color="000000"/>
        </w:rPr>
        <w:t xml:space="preserve"> tzw. </w:t>
      </w:r>
      <w:r>
        <w:rPr>
          <w:rFonts w:eastAsia="Times New Roman" w:cs="Times New Roman"/>
          <w:color w:val="000000"/>
          <w:szCs w:val="20"/>
          <w:u w:color="000000"/>
        </w:rPr>
        <w:t>naruszenia</w:t>
      </w:r>
      <w:r>
        <w:rPr>
          <w:rFonts w:eastAsia="Times New Roman" w:cs="Times New Roman"/>
          <w:color w:val="000000"/>
          <w:szCs w:val="20"/>
          <w:u w:color="000000"/>
        </w:rPr>
        <w:t xml:space="preserve"> </w:t>
      </w:r>
      <w:r>
        <w:rPr>
          <w:rFonts w:eastAsia="Times New Roman" w:cs="Times New Roman"/>
          <w:color w:val="000000"/>
          <w:szCs w:val="20"/>
          <w:u w:color="000000"/>
        </w:rPr>
        <w:t>stosunków wodnych (7 000 zł),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90005 o kwotę 90 648 zł w celu sporządzenia dokumentacji Miejskiego Planu Adaptacji do Zmian Klimatu (29 148 zł) oraz Strategicznej Mapy Hałasu dla Bytomia (61 500 zł),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90095 o kwotę 1 513 zł w związku z koniecznością wzorcowania urządzeń do pomiaru hałasu,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Wydziale Nadzoru Właścicielskiego o kwotę 800 000 zł, z tego:</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90001 o kwotę 500 000 zł z przeznaczeniem na podwyższenie kapitału zakładowego spółki Bytomskie Wodociągi Sp. z o.o.,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xml:space="preserve">w rozdz. 90095 o kwotę 300 000 zł w celu </w:t>
      </w:r>
      <w:r>
        <w:rPr>
          <w:rFonts w:eastAsia="Times New Roman" w:cs="Times New Roman"/>
          <w:color w:val="000000"/>
          <w:szCs w:val="20"/>
          <w:u w:color="000000"/>
        </w:rPr>
        <w:t>do</w:t>
      </w:r>
      <w:r>
        <w:rPr>
          <w:rFonts w:eastAsia="Times New Roman" w:cs="Times New Roman"/>
          <w:color w:val="000000"/>
          <w:szCs w:val="20"/>
          <w:u w:color="000000"/>
        </w:rPr>
        <w:t xml:space="preserve">finansowania </w:t>
      </w:r>
      <w:r>
        <w:rPr>
          <w:rFonts w:eastAsia="Times New Roman" w:cs="Times New Roman"/>
          <w:color w:val="000000"/>
          <w:szCs w:val="20"/>
          <w:u w:color="000000"/>
        </w:rPr>
        <w:t>zadania</w:t>
      </w:r>
      <w:r>
        <w:rPr>
          <w:rFonts w:eastAsia="Times New Roman" w:cs="Times New Roman"/>
          <w:color w:val="000000"/>
          <w:szCs w:val="20"/>
          <w:u w:color="000000"/>
        </w:rPr>
        <w:t xml:space="preserve"> pn. „Budowa ogrodzenia na terenie obiektu GKS Rozbark przy ul. Tuwima 43”,</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Wydziale Komunalnym,</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90002 o kwotę 3 300 000 zł z przeznaczeniem na dofinansowanie kosztów usługi odbierania i zagospodarowania odpadów komunalnych na terenie miasta,</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921 zwiększa się łącznie o kwotę 1 626 460 zł plan w Wydziale Kultury i Sportu w zakresie dotacji podmiotowych na dofinansowanie bieżącej działalności miejskich instytucji kultury, z tego:</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92113 o kwotę 205 920 dla Bytomskiego Centrum Kultury,</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92114 o kwotę 497 500 zł dla Bytomskiego Teatru Tańca i Ruchu Rozbark,</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92116 o kwotę 923 040 zł dla Miejskiej Biblioteki Publicznej;</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926 zwiększa się plan łącznie o kwotę 10 158 680 zł, z tego:</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92604 o kwotę 158 680 zł w Wydziale Kultury i Sportu w celu zwrotu dofinansowania projektu pn. „Program Aktywności Lokalnej w Gminie Bytom”,</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w rozdz. 92695 o kwotę 10 000 000 zł w Wydziale Nadzoru Właścicielskiego z przeznaczeniem podwyższenie kapitału zakładowego spółki Bytomski Sport Polonia Bytom Sp. z o.o.;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val="single" w:color="000000"/>
        </w:rPr>
        <w:t>w zakresie zadań własnych powiatu</w:t>
      </w:r>
      <w:r>
        <w:rPr>
          <w:rFonts w:eastAsia="Times New Roman" w:cs="Times New Roman"/>
          <w:color w:val="000000"/>
          <w:szCs w:val="20"/>
          <w:u w:color="000000"/>
        </w:rPr>
        <w:t>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xml:space="preserve">– w dziale 600, rozdz. 60015 zwiększa się o kwotę 632 945 zł plan w Miejskim Zarządzie Dróg i Mostów z przeznaczeniem na </w:t>
      </w:r>
      <w:r>
        <w:rPr>
          <w:rFonts w:eastAsia="Times New Roman" w:cs="Times New Roman"/>
          <w:color w:val="000000"/>
          <w:szCs w:val="20"/>
          <w:u w:color="000000"/>
        </w:rPr>
        <w:t>b</w:t>
      </w:r>
      <w:r>
        <w:rPr>
          <w:rFonts w:eastAsia="Times New Roman" w:cs="Times New Roman"/>
          <w:color w:val="000000"/>
          <w:szCs w:val="20"/>
          <w:u w:color="000000"/>
        </w:rPr>
        <w:t>ieżące utrzymani</w:t>
      </w:r>
      <w:r>
        <w:rPr>
          <w:rFonts w:eastAsia="Times New Roman" w:cs="Times New Roman"/>
          <w:color w:val="000000"/>
          <w:szCs w:val="20"/>
          <w:u w:color="000000"/>
        </w:rPr>
        <w:t>e</w:t>
      </w:r>
      <w:r>
        <w:rPr>
          <w:rFonts w:eastAsia="Times New Roman" w:cs="Times New Roman"/>
          <w:color w:val="000000"/>
          <w:szCs w:val="20"/>
          <w:u w:color="000000"/>
        </w:rPr>
        <w:t xml:space="preserve"> dróg powiatowych;</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851, rozdz. 85111 zwiększa się o kwotę 2 000 000 zł plan w Wydziale Polityki Społecznej w celu pokrycia części ujemnego wyniku finansowego Szpitala Specjalistycznego nr 1 za 2023 rok;</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853, rozdz. 85333 zmniejsza się o kwotę 304 634 zł plan w Powiatowym Urzędzie Pracy w celu dostosowania planu w zakresie wydatków dotyczących realizacji zadania pn. „Biznes na zicher – 100 tysięcy na start” do zapisów wynikających z zawartego 22 czerwca br. aneksu do umowy o dofinansowanie projektu;</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w dziale 854, rozdz. 85495 zwiększa się o kwotę 1 100 000 zł plan w Wydziale Edukacji z przeznaczeniem na wynagrodzenia dla nauczycieli bytomskich placówek oświatowych.</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val="single" w:color="000000"/>
        </w:rPr>
        <w:t>Po stronie rozchodów</w:t>
      </w:r>
      <w:r>
        <w:rPr>
          <w:rFonts w:eastAsia="Times New Roman" w:cs="Times New Roman"/>
          <w:color w:val="000000"/>
          <w:szCs w:val="20"/>
          <w:u w:color="000000"/>
        </w:rPr>
        <w:t> </w:t>
      </w:r>
    </w:p>
    <w:p>
      <w:pPr>
        <w:keepNext w:val="0"/>
        <w:keepLines w:val="0"/>
        <w:widowControl/>
        <w:suppressLineNumbers w:val="0"/>
        <w:shd w:val="clear" w:color="auto" w:fill="auto"/>
        <w:suppressAutoHyphens w:val="0"/>
        <w:spacing w:before="120" w:beforeAutospacing="0" w:after="120" w:afterAutospacing="0" w:line="276" w:lineRule="auto"/>
        <w:ind w:left="0" w:right="0" w:firstLine="0"/>
        <w:contextualSpacing w:val="0"/>
        <w:rPr>
          <w:rFonts w:eastAsia="Times New Roman" w:cs="Times New Roman"/>
          <w:color w:val="000000"/>
          <w:szCs w:val="20"/>
          <w:u w:color="000000"/>
        </w:rPr>
      </w:pPr>
      <w:r>
        <w:rPr>
          <w:rFonts w:eastAsia="Times New Roman" w:cs="Times New Roman"/>
          <w:color w:val="000000"/>
          <w:szCs w:val="20"/>
          <w:u w:color="000000"/>
        </w:rPr>
        <w:t>w zakresie spłaty otrzy</w:t>
      </w:r>
      <w:r>
        <w:rPr>
          <w:rFonts w:eastAsia="Times New Roman" w:cs="Times New Roman"/>
          <w:color w:val="000000"/>
          <w:szCs w:val="20"/>
          <w:u w:color="000000"/>
        </w:rPr>
        <w:t xml:space="preserve">manych krajowych pożyczek i kredytów </w:t>
      </w:r>
      <w:r>
        <w:rPr>
          <w:rFonts w:eastAsia="Times New Roman" w:cs="Times New Roman"/>
          <w:color w:val="000000"/>
          <w:szCs w:val="20"/>
          <w:u w:color="000000"/>
        </w:rPr>
        <w:t>zmniejsza się plan o kwotę 145 392 zł</w:t>
      </w:r>
      <w:r>
        <w:rPr>
          <w:rFonts w:eastAsia="Times New Roman" w:cs="Times New Roman"/>
          <w:color w:val="000000"/>
          <w:szCs w:val="20"/>
          <w:u w:color="000000"/>
        </w:rPr>
        <w:t>,</w:t>
      </w:r>
      <w:r>
        <w:rPr>
          <w:rFonts w:eastAsia="Times New Roman" w:cs="Times New Roman"/>
          <w:color w:val="000000"/>
          <w:szCs w:val="20"/>
          <w:u w:color="000000"/>
        </w:rPr>
        <w:t xml:space="preserve"> </w:t>
      </w:r>
      <w:r>
        <w:rPr>
          <w:rFonts w:eastAsia="Times New Roman" w:cs="Times New Roman"/>
          <w:color w:val="000000"/>
          <w:szCs w:val="20"/>
          <w:u w:color="000000"/>
        </w:rPr>
        <w:t xml:space="preserve"> </w:t>
      </w:r>
      <w:r>
        <w:rPr>
          <w:rFonts w:eastAsia="Times New Roman" w:cs="Times New Roman"/>
          <w:color w:val="000000"/>
          <w:szCs w:val="20"/>
          <w:u w:color="000000"/>
        </w:rPr>
        <w:t>z uwagi na zmianę harmonogramu spłaty pożyczki zawartej z Wojewódzkim Funduszem Ochrony Środowiska i Gospodarki Wodnej w Katowicach na dofinansowanie realizacji zadania pn. „Program ograniczenia niskiej emisji na terenie Gminy Bytom – etap na rok 2021”, </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xml:space="preserve">w zakresie </w:t>
      </w:r>
      <w:r>
        <w:rPr>
          <w:rFonts w:eastAsia="Times New Roman" w:cs="Times New Roman"/>
          <w:color w:val="000000"/>
          <w:szCs w:val="20"/>
          <w:u w:color="000000"/>
        </w:rPr>
        <w:t>wcześniejszej spłaty istniejącego długu jednostek samorządu terytorialnego</w:t>
      </w:r>
      <w:r>
        <w:rPr>
          <w:rFonts w:eastAsia="Times New Roman" w:cs="Times New Roman"/>
          <w:color w:val="000000"/>
          <w:szCs w:val="20"/>
          <w:u w:color="000000"/>
        </w:rPr>
        <w:t xml:space="preserve"> </w:t>
      </w:r>
      <w:r>
        <w:rPr>
          <w:rFonts w:eastAsia="Times New Roman" w:cs="Times New Roman"/>
          <w:color w:val="000000"/>
          <w:szCs w:val="20"/>
          <w:u w:color="000000"/>
        </w:rPr>
        <w:t>zwiększa się plan o kwotę 183 325 582 zł</w:t>
      </w:r>
      <w:r>
        <w:rPr>
          <w:rFonts w:eastAsia="Times New Roman" w:cs="Times New Roman"/>
          <w:color w:val="000000"/>
          <w:szCs w:val="20"/>
          <w:u w:color="000000"/>
        </w:rPr>
        <w:t>,</w:t>
      </w:r>
      <w:r>
        <w:rPr>
          <w:rFonts w:eastAsia="Times New Roman" w:cs="Times New Roman"/>
          <w:color w:val="000000"/>
          <w:szCs w:val="20"/>
          <w:u w:color="000000"/>
        </w:rPr>
        <w:t xml:space="preserve"> w związku z planowaną </w:t>
      </w:r>
      <w:r>
        <w:rPr>
          <w:rFonts w:eastAsia="Times New Roman" w:cs="Times New Roman"/>
          <w:color w:val="000000"/>
          <w:szCs w:val="20"/>
          <w:u w:color="000000"/>
        </w:rPr>
        <w:t>wcześniejszą spłatą zobowiązań, w tym z tytułu wyemitowanych w latach 2020, 2021 i 2023</w:t>
      </w:r>
      <w:r>
        <w:rPr>
          <w:rFonts w:eastAsia="Times New Roman" w:cs="Times New Roman"/>
          <w:color w:val="000000"/>
          <w:szCs w:val="20"/>
          <w:u w:color="000000"/>
        </w:rPr>
        <w:t xml:space="preserve"> obligacji </w:t>
      </w:r>
      <w:r>
        <w:rPr>
          <w:rFonts w:eastAsia="Times New Roman" w:cs="Times New Roman"/>
          <w:color w:val="000000"/>
          <w:szCs w:val="20"/>
          <w:u w:color="000000"/>
        </w:rPr>
        <w:t xml:space="preserve">w kwocie 80 000 000 zł </w:t>
      </w:r>
      <w:r>
        <w:rPr>
          <w:rFonts w:eastAsia="Times New Roman" w:cs="Times New Roman"/>
          <w:color w:val="000000"/>
          <w:szCs w:val="20"/>
          <w:u w:color="000000"/>
        </w:rPr>
        <w:t xml:space="preserve">oraz </w:t>
      </w:r>
      <w:r>
        <w:rPr>
          <w:rFonts w:eastAsia="Times New Roman" w:cs="Times New Roman"/>
          <w:color w:val="000000"/>
          <w:szCs w:val="20"/>
          <w:u w:color="000000"/>
        </w:rPr>
        <w:t xml:space="preserve">z tytułu kredytu zaciągniętego w </w:t>
      </w:r>
      <w:r>
        <w:rPr>
          <w:rFonts w:eastAsia="Times New Roman" w:cs="Times New Roman"/>
          <w:color w:val="000000"/>
          <w:szCs w:val="20"/>
          <w:u w:color="000000"/>
        </w:rPr>
        <w:t>Europejski</w:t>
      </w:r>
      <w:r>
        <w:rPr>
          <w:rFonts w:eastAsia="Times New Roman" w:cs="Times New Roman"/>
          <w:color w:val="000000"/>
          <w:szCs w:val="20"/>
          <w:u w:color="000000"/>
        </w:rPr>
        <w:t>m</w:t>
      </w:r>
      <w:r>
        <w:rPr>
          <w:rFonts w:eastAsia="Times New Roman" w:cs="Times New Roman"/>
          <w:color w:val="000000"/>
          <w:szCs w:val="20"/>
          <w:u w:color="000000"/>
        </w:rPr>
        <w:t xml:space="preserve"> Banku Inwestycyjn</w:t>
      </w:r>
      <w:r>
        <w:rPr>
          <w:rFonts w:eastAsia="Times New Roman" w:cs="Times New Roman"/>
          <w:color w:val="000000"/>
          <w:szCs w:val="20"/>
          <w:u w:color="000000"/>
        </w:rPr>
        <w:t>ym w kwocie 103 325 582 zł</w:t>
      </w:r>
      <w:r>
        <w:rPr>
          <w:rFonts w:eastAsia="Times New Roman" w:cs="Times New Roman"/>
          <w:color w:val="000000"/>
          <w:szCs w:val="20"/>
          <w:u w:color="000000"/>
        </w:rPr>
        <w:t>.</w:t>
      </w:r>
    </w:p>
    <w:p>
      <w:pPr>
        <w:keepNext w:val="0"/>
        <w:keepLines w:val="0"/>
        <w:widowControl/>
        <w:suppressLineNumbers w:val="0"/>
        <w:shd w:val="clear" w:color="auto" w:fill="auto"/>
        <w:suppressAutoHyphens w:val="0"/>
        <w:spacing w:before="120" w:beforeAutospacing="0" w:after="120" w:afterAutospacing="0" w:line="276" w:lineRule="auto"/>
        <w:ind w:left="0" w:right="0" w:firstLine="227"/>
        <w:contextualSpacing w:val="0"/>
        <w:rPr>
          <w:rFonts w:eastAsia="Times New Roman" w:cs="Times New Roman"/>
          <w:color w:val="000000"/>
          <w:szCs w:val="20"/>
          <w:u w:color="000000"/>
        </w:rPr>
      </w:pPr>
      <w:r>
        <w:rPr>
          <w:rFonts w:eastAsia="Times New Roman" w:cs="Times New Roman"/>
          <w:color w:val="000000"/>
          <w:szCs w:val="20"/>
          <w:u w:color="000000"/>
        </w:rPr>
        <w:t xml:space="preserve">W przedłożonej uchwale dokonuje się aktualizacji zapisów paragrafów nr </w:t>
      </w:r>
      <w:r>
        <w:rPr>
          <w:rFonts w:eastAsia="Times New Roman" w:cs="Times New Roman"/>
          <w:color w:val="000000"/>
          <w:szCs w:val="20"/>
          <w:u w:color="000000"/>
        </w:rPr>
        <w:t xml:space="preserve">3, </w:t>
      </w:r>
      <w:r>
        <w:rPr>
          <w:rFonts w:eastAsia="Times New Roman" w:cs="Times New Roman"/>
          <w:color w:val="000000"/>
          <w:szCs w:val="20"/>
          <w:u w:color="000000"/>
        </w:rPr>
        <w:t>4, 5, 6, 7, 8 i 14 wraz z załącznikami nr 4, 5, 6, 7 i 8 do uchwały nr XXVI/224/25 Rady Miejskiej w Bytomiu z dnia 15 grudnia 2025 roku w sprawie uchwały budżetowej miasta Bytomia na 2026 rok w związku z dokonanymi zmianami kwot planowanych przychodów, dochodów, wydatków i rozchodów. </w:t>
      </w:r>
    </w:p>
    <w:sectPr>
      <w:footerReference w:type="default" r:id="rId10"/>
      <w:endnotePr>
        <w:numFmt w:val="decimal"/>
      </w:endnotePr>
      <w:type w:val="nextPage"/>
      <w:pgSz w:w="11906" w:h="16838" w:code="0"/>
      <w:pgMar w:top="1417" w:right="1020" w:bottom="992" w:left="102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04F8D80D-20FB-419C-8CB5-5D771094A57D.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864"/>
      <w:gridCol w:w="4932"/>
    </w:tblGrid>
    <w:tr>
      <w:tblPrEx>
        <w:tblW w:w="5000" w:type="pct"/>
      </w:tblPrEx>
      <w:tc>
        <w:tcPr>
          <w:tcW w:w="9864"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04F8D80D-20FB-419C-8CB5-5D771094A57D. Podpisany</w:t>
          </w:r>
        </w:p>
      </w:tc>
      <w:tc>
        <w:tcPr>
          <w:tcW w:w="4932"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864"/>
      <w:gridCol w:w="4932"/>
    </w:tblGrid>
    <w:tr>
      <w:tblPrEx>
        <w:tblW w:w="5000" w:type="pct"/>
      </w:tblPrEx>
      <w:tc>
        <w:tcPr>
          <w:tcW w:w="9864"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04F8D80D-20FB-419C-8CB5-5D771094A57D. Podpisany</w:t>
          </w:r>
        </w:p>
      </w:tc>
      <w:tc>
        <w:tcPr>
          <w:tcW w:w="4932"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864"/>
      <w:gridCol w:w="4932"/>
    </w:tblGrid>
    <w:tr>
      <w:tblPrEx>
        <w:tblW w:w="5000" w:type="pct"/>
      </w:tblPrEx>
      <w:tc>
        <w:tcPr>
          <w:tcW w:w="9864"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04F8D80D-20FB-419C-8CB5-5D771094A57D. Podpisany</w:t>
          </w:r>
        </w:p>
      </w:tc>
      <w:tc>
        <w:tcPr>
          <w:tcW w:w="4932"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864"/>
      <w:gridCol w:w="4932"/>
    </w:tblGrid>
    <w:tr>
      <w:tblPrEx>
        <w:tblW w:w="5000" w:type="pct"/>
      </w:tblPrEx>
      <w:tc>
        <w:tcPr>
          <w:tcW w:w="9864"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04F8D80D-20FB-419C-8CB5-5D771094A57D. Podpisany</w:t>
          </w:r>
        </w:p>
      </w:tc>
      <w:tc>
        <w:tcPr>
          <w:tcW w:w="4932"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864"/>
      <w:gridCol w:w="4932"/>
    </w:tblGrid>
    <w:tr>
      <w:tblPrEx>
        <w:tblW w:w="5000" w:type="pct"/>
      </w:tblPrEx>
      <w:tc>
        <w:tcPr>
          <w:tcW w:w="9864"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04F8D80D-20FB-419C-8CB5-5D771094A57D. Podpisany</w:t>
          </w:r>
        </w:p>
      </w:tc>
      <w:tc>
        <w:tcPr>
          <w:tcW w:w="4932"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04F8D80D-20FB-419C-8CB5-5D771094A57D.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left"/>
    </w:pPr>
    <w:rPr>
      <w:rFonts w:ascii="Arial" w:eastAsia="Arial" w:hAnsi="Arial" w:cs="Arial"/>
      <w:sz w:val="24"/>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Motyw pakietu Office">
  <a:themeElements>
    <a:clrScheme name="Pakiet 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Rada Miejska w Bytomiu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XXXVI/331/26 z dnia 31 sierpnia 2026 r.</dc:title>
  <dc:subject>zmieniająca uchwałę budżetową miasta Bytomia na 2026^rok</dc:subject>
  <dc:creator>masocha</dc:creator>
  <cp:lastModifiedBy>masocha</cp:lastModifiedBy>
  <cp:revision>1</cp:revision>
  <dcterms:created xsi:type="dcterms:W3CDTF">2026-09-01T14:41:10Z</dcterms:created>
  <dcterms:modified xsi:type="dcterms:W3CDTF">2026-09-01T14:41:10Z</dcterms:modified>
  <cp:category>Akt prawny</cp:category>
</cp:coreProperties>
</file>