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XXXVI/327/26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31 sierpnia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pokrycia przez Miasto Bytom części straty netto Szpitala Specjalistycznego Nr 1 w Bytomiu za 2023 r.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1684,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kwietnia 2011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działalności leczniczej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156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Postanawia się pokryć część straty netto Szpitala Specjalistycznego Nr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Bytomiu, przy ul. Żeromskiego 7, za 2023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wysokości 2.000.000,00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zł.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Andrzej Wężyk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Na podstawie art. 59 ust. 2 ustawy z dnia 15 kwietnia 2011 r. o działalności leczniczej (Dz. U. z 2026 r. poz. 156 z późn. zm.), podmiot tworzący samodzielny publiczny zakład opieki zdrowotnej może pokryć stratę netto za rok obrotowy tego zakładu w kwocie, jaka nie może być pokryta przez zakład we własnym zakresie w sposób określony w art. 57 ust. 2 pkt 1 ww. ustawy, tj. poprzez zmniejszenie Funduszu SPZOZ, jednak nie wyższej niż suma straty netto za rok obrotowy i kosztów amortyzacji.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ze sprawozdaniem finansowym Szpitala Specjalistycznego Nr 1 w Bytomiu, przy ul. Żeromskiego 7, za 2023 r., poddanym badaniu przez niezależnego biegłego rewidenta, udokumentowanym sprawozdaniem i opinią  z dnia 7 maja 2024 r. oraz zatwierdzonym przez Prezydenta Bytomia w dniu 19 czerwca 2024 r., w 2023 r. Szpital poniósł stratę netto w łącznej wysokości – 21.265.011,51 zł, która po dodaniu kosztów amortyzacji w łącznej wysokości 2.498.085,68 zł, zamyka się kwotą łączną – 18.766.925,83 zł.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Biorąc pod uwagę powyższe, zasadnym jest podjęcie działań mających na celu przekazanie do Szpitala środków finansowych, w kwocie 2.000.000,00 zł, na pokrycie części straty netto za 2023 r. Nadmienia się, że uchwałą  nr XXXIV/316/26 Rady Miejskiej w Bytomiu z dnia 25 czerwca 2026 r. oraz uchwałą  nr XXXV/320/26 Rady Miejskiej w Bytomiu z dnia 27 lipca 2026 r. przeznaczono już na pokrycie części straty netto za 2023 r. kwotę 3.988.484,62 zł.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A1058FCF-B016-494C-9E89-D52B50414C03.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A1058FCF-B016-494C-9E89-D52B50414C03.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XXXVI/327/26 z dnia 31 sierpnia 2026 r.</dc:title>
  <dc:subject>w sprawie pokrycia przez Miasto Bytom części straty netto Szpitala Specjalistycznego^Nr^1^w^Bytomiu za 2023^r.</dc:subject>
  <dc:creator>masocha</dc:creator>
  <cp:lastModifiedBy>masocha</cp:lastModifiedBy>
  <cp:revision>1</cp:revision>
  <dcterms:created xsi:type="dcterms:W3CDTF">2026-09-01T14:40:13Z</dcterms:created>
  <dcterms:modified xsi:type="dcterms:W3CDTF">2026-09-01T14:40:13Z</dcterms:modified>
  <cp:category>Akt prawny</cp:category>
</cp:coreProperties>
</file>