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5.4.0 -->
  <w:body>
    <w:p w:rsidR="00A77B3E">
      <w:pPr>
        <w:spacing w:line="240" w:lineRule="auto"/>
        <w:ind w:left="0"/>
        <w:jc w:val="center"/>
        <w:rPr>
          <w:rFonts w:ascii="Arial" w:eastAsia="Arial" w:hAnsi="Arial" w:cs="Arial"/>
          <w:b/>
          <w:caps/>
          <w:sz w:val="24"/>
        </w:rPr>
      </w:pPr>
      <w:r>
        <w:rPr>
          <w:rFonts w:ascii="Arial" w:eastAsia="Arial" w:hAnsi="Arial" w:cs="Arial"/>
          <w:b/>
          <w:caps/>
          <w:sz w:val="24"/>
        </w:rPr>
        <w:t>Uchwała</w:t>
      </w:r>
      <w:r>
        <w:rPr>
          <w:rFonts w:ascii="Arial" w:eastAsia="Arial" w:hAnsi="Arial" w:cs="Arial"/>
          <w:b/>
          <w:caps/>
          <w:sz w:val="24"/>
        </w:rPr>
        <w:t xml:space="preserve"> nr XXXVIII/362/26</w:t>
      </w:r>
      <w:r>
        <w:rPr>
          <w:rFonts w:ascii="Arial" w:eastAsia="Arial" w:hAnsi="Arial" w:cs="Arial"/>
          <w:b/>
          <w:caps/>
          <w:sz w:val="24"/>
        </w:rPr>
        <w:br/>
      </w:r>
      <w:r>
        <w:rPr>
          <w:rFonts w:ascii="Arial" w:eastAsia="Arial" w:hAnsi="Arial" w:cs="Arial"/>
          <w:b/>
          <w:caps/>
          <w:sz w:val="24"/>
        </w:rPr>
        <w:t>Rady Miejskiej w Bytomiu</w:t>
      </w:r>
    </w:p>
    <w:p w:rsidR="00A77B3E">
      <w:pPr>
        <w:spacing w:before="280" w:after="280" w:line="240" w:lineRule="auto"/>
        <w:ind w:left="0"/>
        <w:jc w:val="center"/>
        <w:rPr>
          <w:rFonts w:ascii="Arial" w:eastAsia="Arial" w:hAnsi="Arial" w:cs="Arial"/>
          <w:b/>
          <w:caps/>
          <w:sz w:val="24"/>
        </w:rPr>
      </w:pPr>
      <w:r>
        <w:rPr>
          <w:rFonts w:ascii="Arial" w:eastAsia="Arial" w:hAnsi="Arial" w:cs="Arial"/>
          <w:b w:val="0"/>
          <w:caps w:val="0"/>
          <w:sz w:val="24"/>
        </w:rPr>
        <w:t>z dnia 26 października 2026 r.</w:t>
      </w:r>
    </w:p>
    <w:p w:rsidR="00A77B3E">
      <w:pPr>
        <w:keepNext/>
        <w:spacing w:before="0" w:after="480" w:line="240" w:lineRule="auto"/>
        <w:ind w:left="0" w:right="0" w:firstLine="0"/>
        <w:jc w:val="center"/>
        <w:rPr>
          <w:rFonts w:ascii="Arial" w:eastAsia="Arial" w:hAnsi="Arial" w:cs="Arial"/>
          <w:b w:val="0"/>
          <w:caps w:val="0"/>
          <w:strike w:val="0"/>
          <w:color w:val="auto"/>
          <w:sz w:val="24"/>
          <w:u w:val="none"/>
        </w:rPr>
      </w:pPr>
      <w:r>
        <w:rPr>
          <w:rFonts w:ascii="Arial" w:eastAsia="Arial" w:hAnsi="Arial" w:cs="Arial"/>
          <w:b/>
          <w:caps w:val="0"/>
          <w:sz w:val="24"/>
        </w:rPr>
        <w:t>w sprawie rozpatrzenia petycji</w:t>
      </w:r>
    </w:p>
    <w:p w:rsidR="00A77B3E">
      <w:pPr>
        <w:keepNext w:val="0"/>
        <w:keepLines/>
        <w:spacing w:before="120" w:after="120" w:line="240" w:lineRule="auto"/>
        <w:ind w:left="0" w:right="0" w:firstLine="227"/>
        <w:jc w:val="left"/>
        <w:rPr>
          <w:rFonts w:ascii="Arial" w:eastAsia="Arial" w:hAnsi="Arial" w:cs="Arial"/>
          <w:b w:val="0"/>
          <w:caps w:val="0"/>
          <w:strike w:val="0"/>
          <w:color w:val="auto"/>
          <w:sz w:val="24"/>
          <w:u w:val="none"/>
        </w:rPr>
      </w:pPr>
      <w:r>
        <w:rPr>
          <w:rFonts w:ascii="Arial" w:eastAsia="Arial" w:hAnsi="Arial" w:cs="Arial"/>
          <w:b w:val="0"/>
          <w:caps w:val="0"/>
          <w:strike w:val="0"/>
          <w:color w:val="auto"/>
          <w:sz w:val="24"/>
          <w:u w:val="none"/>
        </w:rPr>
        <w:t>Na podstawie 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pkt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15</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dnia 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marca 1990</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samorządzie gminnym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2026</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662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późn. zm.)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związku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art.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9</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ustawy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petycjach (Dz.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2018</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r. poz.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870) uchwala się, co następuje:</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1. </w:t>
      </w:r>
      <w:r>
        <w:rPr>
          <w:rFonts w:ascii="Arial" w:eastAsia="Arial" w:hAnsi="Arial" w:cs="Arial"/>
          <w:b w:val="0"/>
          <w:caps w:val="0"/>
          <w:strike w:val="0"/>
          <w:color w:val="auto"/>
          <w:sz w:val="24"/>
          <w:u w:val="none"/>
        </w:rPr>
        <w:t>Nie uwzględnia się petycji złożonej przez Pana B.B. petycji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sprawie podjęcia działań zmierzających do zakończenia współpracy partnerskiej Miasta Bytom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ukraińskimi miastami Drohobycz i</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Żytomierz.</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2. </w:t>
      </w:r>
      <w:r>
        <w:rPr>
          <w:rFonts w:ascii="Arial" w:eastAsia="Arial" w:hAnsi="Arial" w:cs="Arial"/>
          <w:b w:val="0"/>
          <w:caps w:val="0"/>
          <w:strike w:val="0"/>
          <w:color w:val="auto"/>
          <w:sz w:val="24"/>
          <w:u w:val="none"/>
        </w:rPr>
        <w:t>Uzasadnienie rozstrzygnięcia petycji znajduje się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uzasadnieniu niniejszej uchwały.</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3. </w:t>
      </w:r>
      <w:r>
        <w:rPr>
          <w:rFonts w:ascii="Arial" w:eastAsia="Arial" w:hAnsi="Arial" w:cs="Arial"/>
          <w:b w:val="0"/>
          <w:caps w:val="0"/>
          <w:strike w:val="0"/>
          <w:color w:val="auto"/>
          <w:sz w:val="24"/>
          <w:u w:val="none"/>
        </w:rPr>
        <w:t>Zobowiązuje się Przewodniczącego Rady Miejskiej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Bytomiu do powiadomienia składającego petycję o</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sposobie jej rozpatrzenia poprzez przesłanie uchwały wraz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uzasadnieniem.</w:t>
      </w:r>
    </w:p>
    <w:p w:rsidR="00A77B3E">
      <w:pPr>
        <w:keepNext w:val="0"/>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4. </w:t>
      </w:r>
      <w:r>
        <w:rPr>
          <w:rFonts w:ascii="Arial" w:eastAsia="Arial" w:hAnsi="Arial" w:cs="Arial"/>
          <w:b w:val="0"/>
          <w:caps w:val="0"/>
          <w:strike w:val="0"/>
          <w:color w:val="auto"/>
          <w:sz w:val="24"/>
          <w:u w:val="none"/>
        </w:rPr>
        <w:t>Wykonanie uchwały powierza się Przewodniczącemu Rady Miejskiej.</w:t>
      </w:r>
    </w:p>
    <w:p w:rsidR="00A77B3E">
      <w:pPr>
        <w:keepNext/>
        <w:keepLines/>
        <w:spacing w:before="120" w:after="120" w:line="240" w:lineRule="auto"/>
        <w:ind w:left="0" w:right="0" w:firstLine="340"/>
        <w:jc w:val="left"/>
        <w:rPr>
          <w:rFonts w:ascii="Arial" w:eastAsia="Arial" w:hAnsi="Arial" w:cs="Arial"/>
          <w:b w:val="0"/>
          <w:caps w:val="0"/>
          <w:strike w:val="0"/>
          <w:color w:val="auto"/>
          <w:sz w:val="24"/>
          <w:u w:val="none"/>
        </w:rPr>
      </w:pPr>
      <w:r>
        <w:rPr>
          <w:rFonts w:ascii="Arial" w:eastAsia="Arial" w:hAnsi="Arial" w:cs="Arial"/>
          <w:b/>
          <w:sz w:val="24"/>
        </w:rPr>
        <w:t>§ 5. </w:t>
      </w:r>
      <w:r>
        <w:rPr>
          <w:rFonts w:ascii="Arial" w:eastAsia="Arial" w:hAnsi="Arial" w:cs="Arial"/>
          <w:b w:val="0"/>
          <w:caps w:val="0"/>
          <w:strike w:val="0"/>
          <w:color w:val="auto"/>
          <w:sz w:val="24"/>
          <w:u w:val="none"/>
        </w:rPr>
        <w:t>Uchwała wchodzi w</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życie z</w:t>
      </w:r>
      <w:r>
        <w:rPr>
          <w:rFonts w:ascii="Arial" w:eastAsia="Arial" w:hAnsi="Arial" w:cs="Arial"/>
          <w:b w:val="0"/>
          <w:caps w:val="0"/>
          <w:strike w:val="0"/>
          <w:color w:val="auto"/>
          <w:sz w:val="24"/>
          <w:u w:val="none"/>
        </w:rPr>
        <w:t> </w:t>
      </w:r>
      <w:r>
        <w:rPr>
          <w:rFonts w:ascii="Arial" w:eastAsia="Arial" w:hAnsi="Arial" w:cs="Arial"/>
          <w:b w:val="0"/>
          <w:caps w:val="0"/>
          <w:strike w:val="0"/>
          <w:color w:val="auto"/>
          <w:sz w:val="24"/>
          <w:u w:val="none"/>
        </w:rPr>
        <w:t>dniem podjęcia.</w:t>
      </w:r>
    </w:p>
    <w:p w:rsidR="00A77B3E">
      <w:pPr>
        <w:keepNext/>
        <w:keepLines/>
        <w:spacing w:before="120" w:after="120" w:line="240" w:lineRule="auto"/>
        <w:ind w:left="0" w:right="0" w:firstLine="227"/>
        <w:jc w:val="left"/>
        <w:rPr>
          <w:rFonts w:ascii="Arial" w:eastAsia="Arial" w:hAnsi="Arial" w:cs="Arial"/>
          <w:b w:val="0"/>
          <w:caps w:val="0"/>
          <w:strike w:val="0"/>
          <w:color w:val="auto"/>
          <w:sz w:val="24"/>
          <w:u w:val="none"/>
        </w:rPr>
      </w:pPr>
      <w:r>
        <w:rPr>
          <w:rFonts w:ascii="Arial" w:eastAsia="Arial" w:hAnsi="Arial" w:cs="Arial"/>
          <w:b w:val="0"/>
          <w:caps w:val="0"/>
          <w:strike w:val="0"/>
          <w:color w:val="auto"/>
          <w:sz w:val="24"/>
          <w:u w:val="none"/>
        </w:rPr>
        <w:t> </w:t>
      </w:r>
    </w:p>
    <w:p w:rsidR="00A77B3E">
      <w:pPr>
        <w:keepNext/>
        <w:spacing w:before="0" w:after="0"/>
        <w:rPr>
          <w:rFonts w:ascii="Arial" w:eastAsia="Arial" w:hAnsi="Arial" w:cs="Arial"/>
          <w:b w:val="0"/>
          <w:i w:val="0"/>
          <w:caps w:val="0"/>
          <w:strike w:val="0"/>
          <w:color w:val="auto"/>
          <w:sz w:val="24"/>
          <w:u w:val="none"/>
          <w:vertAlign w:val="baseline"/>
        </w:rPr>
      </w:pPr>
      <w:r>
        <w:rPr>
          <w:b w:val="0"/>
          <w:i w:val="0"/>
          <w:color w:val="000000"/>
          <w:u w:val="none"/>
          <w:vertAlign w:val="baseline"/>
        </w:rPr>
        <w:t> </w:t>
      </w:r>
    </w:p>
    <w:tbl>
      <w:tblPr>
        <w:tblW w:w="5000" w:type="pct"/>
        <w:tblCellMar>
          <w:top w:w="0" w:type="dxa"/>
          <w:left w:w="0" w:type="dxa"/>
          <w:bottom w:w="0" w:type="dxa"/>
          <w:right w:w="0" w:type="dxa"/>
        </w:tblCellMar>
      </w:tblPr>
      <w:tblGrid>
        <w:gridCol w:w="4933"/>
        <w:gridCol w:w="4933"/>
      </w:tblGrid>
      <w:tr>
        <w:tblPrEx>
          <w:tblW w:w="5000" w:type="pct"/>
        </w:tblPrEx>
        <w:tc>
          <w:tcPr>
            <w:tcW w:w="2500" w:type="pct"/>
            <w:noWrap w:val="0"/>
            <w:tcMar>
              <w:top w:w="0" w:type="dxa"/>
              <w:left w:w="0" w:type="dxa"/>
              <w:bottom w:w="0" w:type="dxa"/>
              <w:right w:w="0" w:type="dxa"/>
            </w:tcMar>
            <w:vAlign w:val="top"/>
            <w:hideMark/>
          </w:tcPr>
          <w:p>
            <w:pPr>
              <w:keepNext/>
              <w:keepLines/>
              <w:jc w:val="left"/>
              <w:rPr>
                <w:rFonts w:ascii="Arial" w:eastAsia="Arial" w:hAnsi="Arial" w:cs="Arial"/>
                <w:b w:val="0"/>
                <w:bCs w:val="0"/>
                <w:i w:val="0"/>
                <w:iCs w:val="0"/>
                <w:smallCaps w:val="0"/>
                <w:color w:val="000000"/>
                <w:sz w:val="24"/>
              </w:rPr>
            </w:pPr>
          </w:p>
        </w:tc>
        <w:tc>
          <w:tcPr>
            <w:tcW w:w="2500" w:type="pct"/>
            <w:noWrap w:val="0"/>
            <w:tcMar>
              <w:top w:w="0" w:type="dxa"/>
              <w:left w:w="0" w:type="dxa"/>
              <w:bottom w:w="0" w:type="dxa"/>
              <w:right w:w="0" w:type="dxa"/>
            </w:tcMar>
            <w:vAlign w:val="top"/>
            <w:hideMark/>
          </w:tcPr>
          <w:p>
            <w:pPr>
              <w:keepNext/>
              <w:keepLines/>
              <w:spacing w:before="100" w:after="40"/>
              <w:ind w:left="1134" w:right="1134" w:firstLine="0"/>
              <w:jc w:val="center"/>
              <w:rPr>
                <w:rFonts w:ascii="Arial" w:eastAsia="Arial" w:hAnsi="Arial" w:cs="Arial"/>
                <w:b w:val="0"/>
                <w:bCs w:val="0"/>
                <w:i w:val="0"/>
                <w:iCs w:val="0"/>
                <w:smallCaps w:val="0"/>
                <w:color w:val="000000"/>
                <w:sz w:val="24"/>
              </w:rPr>
            </w:pPr>
            <w:r>
              <w:rPr>
                <w:rFonts w:ascii="Arial" w:eastAsia="Arial" w:hAnsi="Arial" w:cs="Arial"/>
                <w:b w:val="0"/>
                <w:bCs w:val="0"/>
                <w:i w:val="0"/>
                <w:iCs w:val="0"/>
                <w:smallCaps w:val="0"/>
                <w:color w:val="000000"/>
                <w:sz w:val="24"/>
              </w:rPr>
              <w:t>Wiceprzewodnicząca Rady Miejskiej</w:t>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rFonts w:ascii="Arial" w:eastAsia="Arial" w:hAnsi="Arial" w:cs="Arial"/>
                <w:b w:val="0"/>
                <w:bCs w:val="0"/>
                <w:i w:val="0"/>
                <w:iCs w:val="0"/>
                <w:smallCaps w:val="0"/>
                <w:color w:val="000000"/>
                <w:sz w:val="24"/>
              </w:rPr>
              <w:br/>
            </w:r>
            <w:r>
              <w:rPr>
                <w:b/>
                <w:i w:val="0"/>
              </w:rPr>
              <w:t>Joanna Stępień</w:t>
            </w:r>
          </w:p>
        </w:tc>
      </w:tr>
    </w:tbl>
    <w:p w:rsidR="00A77B3E">
      <w:pPr>
        <w:keepNext/>
        <w:spacing w:before="0" w:after="0"/>
        <w:rPr>
          <w:rFonts w:ascii="Arial" w:eastAsia="Arial" w:hAnsi="Arial" w:cs="Arial"/>
          <w:b w:val="0"/>
          <w:i w:val="0"/>
          <w:caps w:val="0"/>
          <w:strike w:val="0"/>
          <w:color w:val="auto"/>
          <w:sz w:val="24"/>
          <w:u w:val="none"/>
          <w:vertAlign w:val="baseline"/>
        </w:rPr>
        <w:sectPr>
          <w:footerReference w:type="default" r:id="rId4"/>
          <w:endnotePr>
            <w:numFmt w:val="decimal"/>
          </w:endnotePr>
          <w:pgSz w:w="11906" w:h="16838"/>
          <w:pgMar w:top="1417" w:right="1020" w:bottom="992" w:left="1020" w:header="708" w:footer="708" w:gutter="0"/>
          <w:cols w:space="708"/>
          <w:docGrid w:linePitch="360"/>
        </w:sect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Cs w:val="20"/>
        </w:r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center"/>
        <w:rPr>
          <w:rFonts w:eastAsia="Times New Roman" w:cs="Times New Roman"/>
          <w:szCs w:val="20"/>
        </w:rPr>
      </w:pPr>
      <w:r>
        <w:rPr>
          <w:rFonts w:eastAsia="Times New Roman" w:cs="Times New Roman"/>
          <w:caps/>
          <w:szCs w:val="20"/>
        </w:rPr>
        <w:t>Uzasadnienie</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W dniu 13 lipca 2026 r. do Urzędu Miejskiego w Bytomiu wpłynęło pismo pana B.B. w sprawie podjęcia działań zmierzających do zakończenia współpracy partnerskiej Miasta Bytom z ukraińskimi miastami Drohobycz i Żytomierz.</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Komisja Skarg, Wniosków i Petycji Rady Miejskiej w Bytomiu na posiedzeniu w dniu 20 lipca 2026 r., po zapoznaniu się z opinią radcy prawnego prowadzącego obsługę prawną Urzędu Miejskiego w Bytomiu, zakwalifikowała przedmiotowe pismo jako petycję.</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Komisja po przeanalizowaniu na posiedzeniach w dniach 20 lipca 2026 r., 24 sierpnia 2026 r., 24 września 2026 r. i 19 października 2026 r. treści petycji oraz informacji przedstawionych przez Prezydenta Miasta postanowiła nie uwzględnić petycji.</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Większość Polaków z dużym rozczarowaniem przyjmuje informacje o intensyfikacji działań i deklaracji podejmowanych przez władze ukraińskie różnego szczebla, które akcentują niezwykle bolesne dla naszej narodowej wrażliwości odniesienia historyczne. Należy stale monitorować te zjawiska. W trakcie oficjalnych i roboczych kontaktów z ukraińskimi partnerami należy jednoznacznie podkreślać, że symbole i odniesienia związane ze zbrodniczą ideologią ukraińskiego szowinizmu są i zawsze będą przez nas nieakceptowalne. W przypadku nasilenia się zjawisk godzących w polskie interesy narodowe, konieczne będzie podjęcie natychmiastowych i adekwatnych kroków. Choć trudna historia narodów polskiego i ukraińskiego wciąż silnie oddziałuje na teraźniejszość, nie może ona jednak całkowicie zdominować i przekreślić dotychczasowych relacji. Piętnastoletnia współpraca z Drohobyczem i Żytomierzem zaowocowała wieloma cennymi projektami społecznymi, kulturalnymi oraz edukacyjnymi. Ten wieloletni dialog pozwolił zbudować istotny kapitał społeczny, który stanowi fundament pod dalsze relacje dobrosąsiedzkie. Jesteśmy sąsiadami złączonymi nie tylko przez skomplikowaną historię, ale również przez wspólne szanse rozwoju w przyszłości. Należy mieć na uwadze, że relacje polsko-ukraińskie są obecnie obiektem szczególnego zainteresowania i destabilizującej aktywności środowisk, które szkodzą w równym stopniu Polsce, jak i Ukrainie. Z tego względu władze państwowe i samorządowe w obu krajach powinny wykazywać wyjątkową ostrożność i rozwagę, unikając kroków godzących w obustronne stosunki. U podstaw polityki wobec Ukrainy, realizowanej na każdym szczeblu – w tym samorządowym – leży zarówno asertywna i uważna kontynuacja dialogu historycznego, jak i partnerska praca nad formami kształtowania wspólnej przyszłości. Proces ten nie może się jednak opierać na zachwianej proporcji między naszymi uzasadnionymi oczekiwaniami a uzyskiwanymi efektami.</w:t>
      </w:r>
    </w:p>
    <w:p>
      <w:pPr>
        <w:keepNext w:val="0"/>
        <w:keepLines w:val="0"/>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Biorąc pod uwagę powyższe argumenty, podjęcie niniejszej uchwały jest w pełni uzasadnione dla jasnego zdefiniowania ram dalszej współpracy partnerskiej.</w:t>
      </w:r>
    </w:p>
    <w:p>
      <w:pPr>
        <w:keepNext/>
        <w:keepLines/>
        <w:widowControl/>
        <w:suppressLineNumbers w:val="0"/>
        <w:shd w:val="clear" w:color="auto" w:fill="auto"/>
        <w:suppressAutoHyphens w:val="0"/>
        <w:spacing w:before="120" w:beforeAutospacing="0" w:after="120" w:afterAutospacing="0" w:line="240" w:lineRule="auto"/>
        <w:ind w:left="0" w:right="0" w:firstLine="227"/>
        <w:contextualSpacing w:val="0"/>
        <w:rPr>
          <w:rFonts w:eastAsia="Times New Roman" w:cs="Times New Roman"/>
          <w:szCs w:val="20"/>
        </w:rPr>
      </w:pPr>
      <w:r>
        <w:rPr>
          <w:rFonts w:eastAsia="Times New Roman" w:cs="Times New Roman"/>
          <w:szCs w:val="20"/>
        </w:rPr>
        <w:t>Rada Miejska w Bytomiu w ślad za ustaleniami Komisji Skarg, Wniosków i Petycji postanawia rozpatrzyć niniejszą petycję w przedstawiony sposób.</w:t>
      </w:r>
    </w:p>
    <w:p>
      <w:pPr>
        <w:keepNext/>
        <w:keepLines w:val="0"/>
        <w:widowControl/>
        <w:suppressLineNumbers w:val="0"/>
        <w:shd w:val="clear" w:color="auto" w:fill="auto"/>
        <w:suppressAutoHyphens w:val="0"/>
        <w:spacing w:before="0" w:beforeAutospacing="0" w:after="0" w:afterAutospacing="0" w:line="240" w:lineRule="auto"/>
        <w:ind w:left="0" w:right="0" w:firstLine="0"/>
        <w:contextualSpacing w:val="0"/>
        <w:rPr>
          <w:rFonts w:eastAsia="Times New Roman" w:cs="Times New Roman"/>
          <w:szCs w:val="20"/>
        </w:rPr>
      </w:pPr>
      <w:r>
        <w:rPr>
          <w:rFonts w:eastAsia="Times New Roman" w:cs="Times New Roman"/>
          <w:color w:val="000000"/>
          <w:szCs w:val="20"/>
        </w:rPr>
        <w:t> </w:t>
      </w:r>
    </w:p>
    <w:sectPr>
      <w:footerReference w:type="default" r:id="rId5"/>
      <w:endnotePr>
        <w:numFmt w:val="decimal"/>
      </w:endnotePr>
      <w:type w:val="nextPage"/>
      <w:pgSz w:w="11906" w:h="16838" w:code="0"/>
      <w:pgMar w:top="1417" w:right="1020" w:bottom="992" w:left="102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FCC8EAC4-9996-4D9D-9664-3FB8F8D6C7DF.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PrEx>
      <w:tc>
        <w:tcPr>
          <w:tcW w:w="6577" w:type="dxa"/>
          <w:tcBorders>
            <w:top w:val="single" w:sz="4" w:space="0" w:color="auto"/>
            <w:left w:val="nil"/>
            <w:bottom w:val="nil"/>
            <w:right w:val="nil"/>
          </w:tcBorders>
          <w:noWrap w:val="0"/>
          <w:tcMar>
            <w:top w:w="100" w:type="dxa"/>
            <w:left w:w="0" w:type="dxa"/>
            <w:bottom w:w="0" w:type="dxa"/>
            <w:right w:w="0" w:type="dxa"/>
          </w:tcMar>
          <w:vAlign w:val="top"/>
          <w:hideMark/>
        </w:tcPr>
        <w:p>
          <w:pPr>
            <w:jc w:val="left"/>
            <w:rPr>
              <w:rFonts w:ascii="Arial" w:eastAsia="Arial" w:hAnsi="Arial" w:cs="Arial"/>
              <w:b w:val="0"/>
              <w:sz w:val="18"/>
            </w:rPr>
          </w:pPr>
          <w:r>
            <w:rPr>
              <w:rFonts w:ascii="Arial" w:eastAsia="Arial" w:hAnsi="Arial" w:cs="Arial"/>
              <w:b w:val="0"/>
              <w:sz w:val="18"/>
            </w:rPr>
            <w:t>Id: FCC8EAC4-9996-4D9D-9664-3FB8F8D6C7DF. Podpisany</w:t>
          </w:r>
        </w:p>
      </w:tc>
      <w:tc>
        <w:tcPr>
          <w:tcW w:w="3289" w:type="dxa"/>
          <w:tcBorders>
            <w:top w:val="single" w:sz="4" w:space="0" w:color="auto"/>
            <w:left w:val="nil"/>
            <w:bottom w:val="nil"/>
            <w:right w:val="nil"/>
          </w:tcBorders>
          <w:noWrap w:val="0"/>
          <w:tcMar>
            <w:top w:w="100" w:type="dxa"/>
            <w:left w:w="0" w:type="dxa"/>
            <w:bottom w:w="0" w:type="dxa"/>
            <w:right w:w="0" w:type="dxa"/>
          </w:tcMar>
          <w:vAlign w:val="top"/>
          <w:hideMark/>
        </w:tcPr>
        <w:p>
          <w:pPr>
            <w:jc w:val="right"/>
            <w:rPr>
              <w:rFonts w:ascii="Arial" w:eastAsia="Arial" w:hAnsi="Arial" w:cs="Arial"/>
              <w:b w:val="0"/>
              <w:sz w:val="18"/>
            </w:rPr>
          </w:pPr>
          <w:r>
            <w:rPr>
              <w:rFonts w:ascii="Arial" w:eastAsia="Arial" w:hAnsi="Arial" w:cs="Arial"/>
              <w:b w:val="0"/>
              <w:sz w:val="18"/>
            </w:rPr>
            <w:t xml:space="preserve">Strona </w:t>
          </w:r>
          <w:r>
            <w:rPr>
              <w:rFonts w:ascii="Arial" w:eastAsia="Arial" w:hAnsi="Arial" w:cs="Arial"/>
              <w:b w:val="0"/>
              <w:sz w:val="18"/>
            </w:rPr>
            <w:fldChar w:fldCharType="begin"/>
          </w:r>
          <w:r>
            <w:rPr>
              <w:rFonts w:ascii="Arial" w:eastAsia="Arial" w:hAnsi="Arial" w:cs="Arial"/>
              <w:b w:val="0"/>
              <w:sz w:val="18"/>
            </w:rPr>
            <w:instrText>PAGE</w:instrText>
          </w:r>
          <w:r>
            <w:rPr>
              <w:rFonts w:ascii="Arial" w:eastAsia="Arial" w:hAnsi="Arial" w:cs="Arial"/>
              <w:b w:val="0"/>
              <w:sz w:val="18"/>
            </w:rPr>
            <w:fldChar w:fldCharType="separate"/>
          </w:r>
          <w:r>
            <w:rPr>
              <w:rFonts w:ascii="Arial" w:eastAsia="Arial" w:hAnsi="Arial" w:cs="Arial"/>
              <w:b w:val="0"/>
              <w:sz w:val="18"/>
            </w:rPr>
            <w:fldChar w:fldCharType="end"/>
          </w:r>
        </w:p>
      </w:tc>
    </w:tr>
  </w:tbl>
  <w:p>
    <w:pPr>
      <w:rPr>
        <w:rFonts w:ascii="Arial" w:eastAsia="Arial" w:hAnsi="Arial" w:cs="Arial"/>
        <w:b w:val="0"/>
        <w:sz w:val="18"/>
      </w:rPr>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left"/>
    </w:pPr>
    <w:rPr>
      <w:rFonts w:ascii="Arial" w:eastAsia="Arial" w:hAnsi="Arial" w:cs="Arial"/>
      <w:sz w:val="24"/>
      <w:szCs w:val="24"/>
      <w:lang w:val="pl-PL" w:eastAsia="pl-PL" w:bidi="pl-PL"/>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Rada Miejska w Bytomiu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XXXVIII/362/26 z dnia 26 października 2026 r.</dc:title>
  <dc:subject>w sprawie rozpatrzenia petycji</dc:subject>
  <dc:creator>asteuer</dc:creator>
  <cp:lastModifiedBy>asteuer</cp:lastModifiedBy>
  <cp:revision>1</cp:revision>
  <dcterms:created xsi:type="dcterms:W3CDTF">2026-10-26T17:16:14Z</dcterms:created>
  <dcterms:modified xsi:type="dcterms:W3CDTF">2026-10-26T17:16:14Z</dcterms:modified>
  <cp:category>Akt prawny</cp:category>
</cp:coreProperties>
</file>