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25.4.0 -->
  <w:body>
    <w:p w:rsidR="00A77B3E">
      <w:pPr>
        <w:spacing w:line="276" w:lineRule="auto"/>
        <w:ind w:left="0"/>
        <w:jc w:val="center"/>
        <w:rPr>
          <w:rFonts w:ascii="Arial" w:eastAsia="Arial" w:hAnsi="Arial" w:cs="Arial"/>
          <w:b/>
          <w:caps/>
          <w:sz w:val="24"/>
        </w:rPr>
      </w:pPr>
      <w:r>
        <w:rPr>
          <w:rFonts w:ascii="Arial" w:eastAsia="Arial" w:hAnsi="Arial" w:cs="Arial"/>
          <w:b/>
          <w:caps/>
          <w:sz w:val="24"/>
        </w:rPr>
        <w:t>Uchwała</w:t>
      </w:r>
      <w:r>
        <w:rPr>
          <w:rFonts w:ascii="Arial" w:eastAsia="Arial" w:hAnsi="Arial" w:cs="Arial"/>
          <w:b/>
          <w:caps/>
          <w:sz w:val="24"/>
        </w:rPr>
        <w:t xml:space="preserve"> nr XXXVIII/359/26</w:t>
      </w:r>
      <w:r>
        <w:rPr>
          <w:rFonts w:ascii="Arial" w:eastAsia="Arial" w:hAnsi="Arial" w:cs="Arial"/>
          <w:b/>
          <w:caps/>
          <w:sz w:val="24"/>
        </w:rPr>
        <w:br/>
      </w:r>
      <w:r>
        <w:rPr>
          <w:rFonts w:ascii="Arial" w:eastAsia="Arial" w:hAnsi="Arial" w:cs="Arial"/>
          <w:b/>
          <w:caps/>
          <w:sz w:val="24"/>
        </w:rPr>
        <w:t>Rady Miejskiej w Bytomiu</w:t>
      </w:r>
    </w:p>
    <w:p w:rsidR="00A77B3E">
      <w:pPr>
        <w:spacing w:before="280" w:after="280" w:line="276" w:lineRule="auto"/>
        <w:ind w:left="0"/>
        <w:jc w:val="center"/>
        <w:rPr>
          <w:rFonts w:ascii="Arial" w:eastAsia="Arial" w:hAnsi="Arial" w:cs="Arial"/>
          <w:b/>
          <w:caps/>
          <w:sz w:val="24"/>
        </w:rPr>
      </w:pPr>
      <w:r>
        <w:rPr>
          <w:rFonts w:ascii="Arial" w:eastAsia="Arial" w:hAnsi="Arial" w:cs="Arial"/>
          <w:b w:val="0"/>
          <w:caps w:val="0"/>
          <w:sz w:val="24"/>
        </w:rPr>
        <w:t>z dnia 26 października 2026 r.</w:t>
      </w:r>
    </w:p>
    <w:p w:rsidR="00A77B3E">
      <w:pPr>
        <w:keepNext/>
        <w:spacing w:before="0" w:after="480" w:line="276" w:lineRule="auto"/>
        <w:ind w:left="0" w:right="0" w:firstLine="0"/>
        <w:jc w:val="center"/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</w:pPr>
      <w:r>
        <w:rPr>
          <w:rFonts w:ascii="Arial" w:eastAsia="Arial" w:hAnsi="Arial" w:cs="Arial"/>
          <w:b/>
          <w:caps w:val="0"/>
          <w:sz w:val="24"/>
        </w:rPr>
        <w:t>zmieniająca uchwałę nr I/4/24 Rady Miejskiej w Bytomiu w sprawie powołania stałej Komisji Finansów i Rozwoju Miasta Rady Miejskiej w Bytomiu</w:t>
      </w:r>
    </w:p>
    <w:p w:rsidR="00A77B3E">
      <w:pPr>
        <w:keepNext w:val="0"/>
        <w:keepLines/>
        <w:spacing w:before="120" w:after="120" w:line="276" w:lineRule="auto"/>
        <w:ind w:left="0" w:right="0" w:firstLine="227"/>
        <w:jc w:val="left"/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</w:pP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Na podstawie art.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21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ust.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1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ustawy z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dnia 8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marca 1990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r. o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samorządzie gminnym (Dz.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U.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z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2026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r. poz.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662, z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późn. zm.) w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związku z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§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29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ust.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1 i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§ 35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Statutu Miasta Bytomia – załącznika do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uchwały nr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LXIX/884/22 Rady Miejskiej w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Bytomiu z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dnia 24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października 2022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r. w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sprawie przyjęcia Statutu Miasta Bytomia (Dz.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Urz. Woj. Śl. z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2022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r. poz.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6796) uchwala się, co następuje:</w:t>
      </w:r>
    </w:p>
    <w:p w:rsidR="00A77B3E">
      <w:pPr>
        <w:keepNext w:val="0"/>
        <w:keepLines/>
        <w:spacing w:before="120" w:after="120" w:line="276" w:lineRule="auto"/>
        <w:ind w:left="0" w:right="0" w:firstLine="340"/>
        <w:jc w:val="left"/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</w:pPr>
      <w:r>
        <w:rPr>
          <w:rFonts w:ascii="Arial" w:eastAsia="Arial" w:hAnsi="Arial" w:cs="Arial"/>
          <w:b/>
          <w:sz w:val="24"/>
        </w:rPr>
        <w:t>§ 1.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W uchwale nr I/4/24 Rady Miejskiej w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Bytomiu z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dnia 10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maja 2024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r. w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sprawie powołania stałej Komisji Finansów i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Rozwoju Miasta Rady Miejskiej w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Bytomiu §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4 otrzymuje brzmienie:</w:t>
      </w:r>
    </w:p>
    <w:p w:rsidR="00A77B3E">
      <w:pPr>
        <w:keepNext w:val="0"/>
        <w:keepLines/>
        <w:spacing w:before="120" w:after="120" w:line="276" w:lineRule="auto"/>
        <w:ind w:left="680" w:right="0" w:firstLine="227"/>
        <w:jc w:val="left"/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</w:pPr>
      <w:r>
        <w:rPr>
          <w:b w:val="0"/>
          <w:i w:val="0"/>
          <w:u w:val="none"/>
        </w:rPr>
        <w:t>„</w:t>
      </w:r>
      <w:r>
        <w:rPr>
          <w:rFonts w:ascii="Arial" w:eastAsia="Arial" w:hAnsi="Arial" w:cs="Arial"/>
          <w:sz w:val="24"/>
        </w:rPr>
        <w:t>§ 4.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Na Wiceprzewodniczącego Komisji Finansów i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Rozwoju Miasta Rady Miejskiej w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Bytomiu wybiera się radnego Tymoteusza Jabłońskiego.</w:t>
      </w:r>
      <w:r>
        <w:rPr>
          <w:b w:val="0"/>
          <w:i w:val="0"/>
          <w:u w:val="none"/>
        </w:rPr>
        <w:t>”</w:t>
      </w:r>
      <w:r>
        <w:t>.</w:t>
      </w:r>
    </w:p>
    <w:p w:rsidR="00A77B3E">
      <w:pPr>
        <w:keepNext/>
        <w:keepLines/>
        <w:spacing w:before="120" w:after="120" w:line="276" w:lineRule="auto"/>
        <w:ind w:left="0" w:right="0" w:firstLine="340"/>
        <w:jc w:val="left"/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</w:pPr>
      <w:r>
        <w:rPr>
          <w:rFonts w:ascii="Arial" w:eastAsia="Arial" w:hAnsi="Arial" w:cs="Arial"/>
          <w:b/>
          <w:sz w:val="24"/>
        </w:rPr>
        <w:t>§ 2.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Uchwała wchodzi w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życie z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dniem podjęcia.</w:t>
      </w:r>
    </w:p>
    <w:p w:rsidR="00A77B3E">
      <w:pPr>
        <w:keepNext/>
        <w:keepLines/>
        <w:spacing w:before="120" w:after="120" w:line="276" w:lineRule="auto"/>
        <w:ind w:left="0" w:right="0" w:firstLine="227"/>
        <w:jc w:val="left"/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</w:pP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</w:p>
    <w:p w:rsidR="00A77B3E">
      <w:pPr>
        <w:keepNext/>
        <w:spacing w:before="0" w:after="0"/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</w:pPr>
      <w:r>
        <w:rPr>
          <w:b w:val="0"/>
          <w:i w:val="0"/>
          <w:color w:val="000000"/>
          <w:u w:val="none"/>
          <w:vertAlign w:val="baseline"/>
        </w:rPr>
        <w:t> </w:t>
      </w:r>
    </w:p>
    <w:tbl>
      <w:tblPr>
        <w:tblW w:w="5000" w:type="pct"/>
        <w:tblCellMar>
          <w:top w:w="0" w:type="dxa"/>
          <w:left w:w="0" w:type="dxa"/>
          <w:bottom w:w="0" w:type="dxa"/>
          <w:right w:w="0" w:type="dxa"/>
        </w:tblCellMar>
      </w:tblPr>
      <w:tblGrid>
        <w:gridCol w:w="4933"/>
        <w:gridCol w:w="4933"/>
      </w:tblGrid>
      <w:tr>
        <w:tblPrEx>
          <w:tblW w:w="5000" w:type="pct"/>
        </w:tblPrEx>
        <w:tc>
          <w:tcPr>
            <w:tcW w:w="2500" w:type="pct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top"/>
            <w:hideMark/>
          </w:tcPr>
          <w:p>
            <w:pPr>
              <w:keepNext/>
              <w:keepLines/>
              <w:jc w:val="left"/>
              <w:rPr>
                <w:rFonts w:ascii="Arial" w:eastAsia="Arial" w:hAnsi="Arial" w:cs="Arial"/>
                <w:b w:val="0"/>
                <w:bCs w:val="0"/>
                <w:i w:val="0"/>
                <w:iCs w:val="0"/>
                <w:smallCaps w:val="0"/>
                <w:color w:val="000000"/>
                <w:sz w:val="24"/>
              </w:rPr>
            </w:pPr>
          </w:p>
        </w:tc>
        <w:tc>
          <w:tcPr>
            <w:tcW w:w="2500" w:type="pct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top"/>
            <w:hideMark/>
          </w:tcPr>
          <w:p>
            <w:pPr>
              <w:keepNext/>
              <w:keepLines/>
              <w:spacing w:before="100" w:after="40"/>
              <w:ind w:left="1134" w:right="1134" w:firstLine="0"/>
              <w:jc w:val="center"/>
              <w:rPr>
                <w:rFonts w:ascii="Arial" w:eastAsia="Arial" w:hAnsi="Arial" w:cs="Arial"/>
                <w:b w:val="0"/>
                <w:bCs w:val="0"/>
                <w:i w:val="0"/>
                <w:iCs w:val="0"/>
                <w:smallCaps w:val="0"/>
                <w:color w:val="000000"/>
                <w:sz w:val="24"/>
              </w:rPr>
            </w:pPr>
            <w:r>
              <w:rPr>
                <w:rFonts w:ascii="Arial" w:eastAsia="Arial" w:hAnsi="Arial" w:cs="Arial"/>
                <w:b w:val="0"/>
                <w:bCs w:val="0"/>
                <w:i w:val="0"/>
                <w:iCs w:val="0"/>
                <w:smallCaps w:val="0"/>
                <w:color w:val="000000"/>
                <w:sz w:val="24"/>
              </w:rPr>
              <w:t>Wiceprzewodnicząca Rady Miejskiej</w:t>
            </w:r>
            <w:r>
              <w:rPr>
                <w:rFonts w:ascii="Arial" w:eastAsia="Arial" w:hAnsi="Arial" w:cs="Arial"/>
                <w:b w:val="0"/>
                <w:bCs w:val="0"/>
                <w:i w:val="0"/>
                <w:iCs w:val="0"/>
                <w:smallCaps w:val="0"/>
                <w:color w:val="000000"/>
                <w:sz w:val="24"/>
              </w:rPr>
              <w:br/>
            </w:r>
            <w:r>
              <w:rPr>
                <w:rFonts w:ascii="Arial" w:eastAsia="Arial" w:hAnsi="Arial" w:cs="Arial"/>
                <w:b w:val="0"/>
                <w:bCs w:val="0"/>
                <w:i w:val="0"/>
                <w:iCs w:val="0"/>
                <w:smallCaps w:val="0"/>
                <w:color w:val="000000"/>
                <w:sz w:val="24"/>
              </w:rPr>
              <w:br/>
            </w:r>
            <w:r>
              <w:rPr>
                <w:rFonts w:ascii="Arial" w:eastAsia="Arial" w:hAnsi="Arial" w:cs="Arial"/>
                <w:b w:val="0"/>
                <w:bCs w:val="0"/>
                <w:i w:val="0"/>
                <w:iCs w:val="0"/>
                <w:smallCaps w:val="0"/>
                <w:color w:val="000000"/>
                <w:sz w:val="24"/>
              </w:rPr>
              <w:br/>
            </w:r>
            <w:r>
              <w:rPr>
                <w:b/>
                <w:i w:val="0"/>
              </w:rPr>
              <w:t>Joanna Stępień</w:t>
            </w:r>
          </w:p>
        </w:tc>
      </w:tr>
    </w:tbl>
    <w:p w:rsidR="00A77B3E">
      <w:pPr>
        <w:keepNext/>
        <w:spacing w:before="0" w:after="0"/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sectPr>
          <w:footerReference w:type="default" r:id="rId4"/>
          <w:endnotePr>
            <w:numFmt w:val="decimal"/>
          </w:endnotePr>
          <w:pgSz w:w="11906" w:h="16838"/>
          <w:pgMar w:top="1417" w:right="1020" w:bottom="992" w:left="1020" w:header="708" w:footer="708" w:gutter="0"/>
          <w:cols w:space="708"/>
          <w:docGrid w:linePitch="360"/>
        </w:sectPr>
      </w:pP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contextualSpacing w:val="0"/>
        <w:rPr>
          <w:rFonts w:eastAsia="Times New Roman" w:cs="Times New Roman"/>
          <w:szCs w:val="20"/>
        </w:rPr>
      </w:pP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contextualSpacing w:val="0"/>
        <w:jc w:val="center"/>
        <w:rPr>
          <w:rFonts w:eastAsia="Times New Roman" w:cs="Times New Roman"/>
          <w:szCs w:val="20"/>
        </w:rPr>
      </w:pPr>
      <w:r>
        <w:rPr>
          <w:rFonts w:eastAsia="Times New Roman" w:cs="Times New Roman"/>
          <w:caps/>
          <w:szCs w:val="20"/>
        </w:rPr>
        <w:t>Uzasadnienie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rPr>
          <w:rFonts w:eastAsia="Times New Roman" w:cs="Times New Roman"/>
          <w:szCs w:val="20"/>
        </w:rPr>
      </w:pPr>
      <w:r>
        <w:rPr>
          <w:rFonts w:eastAsia="Times New Roman" w:cs="Times New Roman"/>
          <w:szCs w:val="20"/>
        </w:rPr>
        <w:t>W dniu 19 sierpnia 2026 r. radna Izabela Kozak złożyła rezygnację z funkcji wiceprzewodniczącej Komisji Finansów i Rozwoju Miasta, w związku z czym niezbędne jest dokonanie wyboru nowego radnego na funkcję wiceprzewodniczącego Komisji.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rPr>
          <w:rFonts w:eastAsia="Times New Roman" w:cs="Times New Roman"/>
          <w:szCs w:val="20"/>
        </w:rPr>
      </w:pPr>
      <w:r>
        <w:rPr>
          <w:rFonts w:eastAsia="Times New Roman" w:cs="Times New Roman"/>
          <w:szCs w:val="20"/>
        </w:rPr>
        <w:t>Na podstawie § 35 Statutu Miasta Bytomia (Dz. U. Woj. Śl. z 2022 r. poz. 6796) Rada Miejska dokonuje wyboru wiceprzewodniczącego komisji w uchwale powołującej komisje.</w:t>
      </w:r>
    </w:p>
    <w:sectPr>
      <w:footerReference w:type="default" r:id="rId5"/>
      <w:endnotePr>
        <w:numFmt w:val="decimal"/>
      </w:endnotePr>
      <w:type w:val="nextPage"/>
      <w:pgSz w:w="11906" w:h="16838" w:code="0"/>
      <w:pgMar w:top="1417" w:right="1020" w:bottom="992" w:left="1020" w:header="708" w:footer="708" w:gutter="0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7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7A87" w:usb1="80000000" w:usb2="00000008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108" w:type="dxa"/>
        <w:right w:w="108" w:type="dxa"/>
      </w:tblCellMar>
    </w:tblPr>
    <w:tblGrid>
      <w:gridCol w:w="6577"/>
      <w:gridCol w:w="3289"/>
    </w:tblGrid>
    <w:tr>
      <w:tblPrEx>
        <w:tblW w:w="5000" w:type="pct"/>
      </w:tblPrEx>
      <w:tc>
        <w:tcPr>
          <w:tcW w:w="6577" w:type="dxa"/>
          <w:tcBorders>
            <w:top w:val="single" w:sz="4" w:space="0" w:color="auto"/>
            <w:left w:val="nil"/>
            <w:bottom w:val="nil"/>
            <w:right w:val="nil"/>
          </w:tcBorders>
          <w:noWrap w:val="0"/>
          <w:tcMar>
            <w:top w:w="100" w:type="dxa"/>
            <w:left w:w="0" w:type="dxa"/>
            <w:bottom w:w="0" w:type="dxa"/>
            <w:right w:w="0" w:type="dxa"/>
          </w:tcMar>
          <w:vAlign w:val="top"/>
          <w:hideMark/>
        </w:tcPr>
        <w:p>
          <w:pPr>
            <w:jc w:val="left"/>
            <w:rPr>
              <w:rFonts w:ascii="Arial" w:eastAsia="Arial" w:hAnsi="Arial" w:cs="Arial"/>
              <w:b w:val="0"/>
              <w:sz w:val="18"/>
            </w:rPr>
          </w:pPr>
          <w:r>
            <w:rPr>
              <w:rFonts w:ascii="Arial" w:eastAsia="Arial" w:hAnsi="Arial" w:cs="Arial"/>
              <w:b w:val="0"/>
              <w:sz w:val="18"/>
            </w:rPr>
            <w:t>Id: 2F07C24C-7A0E-408C-9403-6CFB083B6D57. Podpisany</w:t>
          </w:r>
        </w:p>
      </w:tc>
      <w:tc>
        <w:tcPr>
          <w:tcW w:w="3289" w:type="dxa"/>
          <w:tcBorders>
            <w:top w:val="single" w:sz="4" w:space="0" w:color="auto"/>
            <w:left w:val="nil"/>
            <w:bottom w:val="nil"/>
            <w:right w:val="nil"/>
          </w:tcBorders>
          <w:noWrap w:val="0"/>
          <w:tcMar>
            <w:top w:w="100" w:type="dxa"/>
            <w:left w:w="0" w:type="dxa"/>
            <w:bottom w:w="0" w:type="dxa"/>
            <w:right w:w="0" w:type="dxa"/>
          </w:tcMar>
          <w:vAlign w:val="top"/>
          <w:hideMark/>
        </w:tcPr>
        <w:p>
          <w:pPr>
            <w:jc w:val="right"/>
            <w:rPr>
              <w:rFonts w:ascii="Arial" w:eastAsia="Arial" w:hAnsi="Arial" w:cs="Arial"/>
              <w:b w:val="0"/>
              <w:sz w:val="18"/>
            </w:rPr>
          </w:pPr>
          <w:r>
            <w:rPr>
              <w:rFonts w:ascii="Arial" w:eastAsia="Arial" w:hAnsi="Arial" w:cs="Arial"/>
              <w:b w:val="0"/>
              <w:sz w:val="18"/>
            </w:rPr>
            <w:t xml:space="preserve">Strona </w:t>
          </w:r>
          <w:r>
            <w:rPr>
              <w:rFonts w:ascii="Arial" w:eastAsia="Arial" w:hAnsi="Arial" w:cs="Arial"/>
              <w:b w:val="0"/>
              <w:sz w:val="18"/>
            </w:rPr>
            <w:fldChar w:fldCharType="begin"/>
          </w:r>
          <w:r>
            <w:rPr>
              <w:rFonts w:ascii="Arial" w:eastAsia="Arial" w:hAnsi="Arial" w:cs="Arial"/>
              <w:b w:val="0"/>
              <w:sz w:val="18"/>
            </w:rPr>
            <w:instrText>PAGE</w:instrText>
          </w:r>
          <w:r>
            <w:rPr>
              <w:rFonts w:ascii="Arial" w:eastAsia="Arial" w:hAnsi="Arial" w:cs="Arial"/>
              <w:b w:val="0"/>
              <w:sz w:val="18"/>
            </w:rPr>
            <w:fldChar w:fldCharType="separate"/>
          </w:r>
          <w:r>
            <w:rPr>
              <w:rFonts w:ascii="Arial" w:eastAsia="Arial" w:hAnsi="Arial" w:cs="Arial"/>
              <w:b w:val="0"/>
              <w:sz w:val="18"/>
            </w:rPr>
            <w:fldChar w:fldCharType="end"/>
          </w:r>
        </w:p>
      </w:tc>
    </w:tr>
  </w:tbl>
  <w:p>
    <w:pPr>
      <w:rPr>
        <w:rFonts w:ascii="Arial" w:eastAsia="Arial" w:hAnsi="Arial" w:cs="Arial"/>
        <w:b w:val="0"/>
        <w:sz w:val="18"/>
      </w:rPr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108" w:type="dxa"/>
        <w:right w:w="108" w:type="dxa"/>
      </w:tblCellMar>
    </w:tblPr>
    <w:tblGrid>
      <w:gridCol w:w="6577"/>
      <w:gridCol w:w="3289"/>
    </w:tblGrid>
    <w:tr>
      <w:tblPrEx>
        <w:tblW w:w="5000" w:type="pct"/>
      </w:tblPrEx>
      <w:tc>
        <w:tcPr>
          <w:tcW w:w="6577" w:type="dxa"/>
          <w:tcBorders>
            <w:top w:val="single" w:sz="4" w:space="0" w:color="auto"/>
            <w:left w:val="nil"/>
            <w:bottom w:val="nil"/>
            <w:right w:val="nil"/>
          </w:tcBorders>
          <w:noWrap w:val="0"/>
          <w:tcMar>
            <w:top w:w="100" w:type="dxa"/>
            <w:left w:w="0" w:type="dxa"/>
            <w:bottom w:w="0" w:type="dxa"/>
            <w:right w:w="0" w:type="dxa"/>
          </w:tcMar>
          <w:vAlign w:val="top"/>
          <w:hideMark/>
        </w:tcPr>
        <w:p>
          <w:pPr>
            <w:jc w:val="left"/>
            <w:rPr>
              <w:rFonts w:ascii="Arial" w:eastAsia="Arial" w:hAnsi="Arial" w:cs="Arial"/>
              <w:b w:val="0"/>
              <w:sz w:val="18"/>
            </w:rPr>
          </w:pPr>
          <w:r>
            <w:rPr>
              <w:rFonts w:ascii="Arial" w:eastAsia="Arial" w:hAnsi="Arial" w:cs="Arial"/>
              <w:b w:val="0"/>
              <w:sz w:val="18"/>
            </w:rPr>
            <w:t>Id: 2F07C24C-7A0E-408C-9403-6CFB083B6D57. Podpisany</w:t>
          </w:r>
        </w:p>
      </w:tc>
      <w:tc>
        <w:tcPr>
          <w:tcW w:w="3289" w:type="dxa"/>
          <w:tcBorders>
            <w:top w:val="single" w:sz="4" w:space="0" w:color="auto"/>
            <w:left w:val="nil"/>
            <w:bottom w:val="nil"/>
            <w:right w:val="nil"/>
          </w:tcBorders>
          <w:noWrap w:val="0"/>
          <w:tcMar>
            <w:top w:w="100" w:type="dxa"/>
            <w:left w:w="0" w:type="dxa"/>
            <w:bottom w:w="0" w:type="dxa"/>
            <w:right w:w="0" w:type="dxa"/>
          </w:tcMar>
          <w:vAlign w:val="top"/>
          <w:hideMark/>
        </w:tcPr>
        <w:p>
          <w:pPr>
            <w:jc w:val="right"/>
            <w:rPr>
              <w:rFonts w:ascii="Arial" w:eastAsia="Arial" w:hAnsi="Arial" w:cs="Arial"/>
              <w:b w:val="0"/>
              <w:sz w:val="18"/>
            </w:rPr>
          </w:pPr>
          <w:r>
            <w:rPr>
              <w:rFonts w:ascii="Arial" w:eastAsia="Arial" w:hAnsi="Arial" w:cs="Arial"/>
              <w:b w:val="0"/>
              <w:sz w:val="18"/>
            </w:rPr>
            <w:t xml:space="preserve">Strona </w:t>
          </w:r>
          <w:r>
            <w:rPr>
              <w:rFonts w:ascii="Arial" w:eastAsia="Arial" w:hAnsi="Arial" w:cs="Arial"/>
              <w:b w:val="0"/>
              <w:sz w:val="18"/>
            </w:rPr>
            <w:fldChar w:fldCharType="begin"/>
          </w:r>
          <w:r>
            <w:rPr>
              <w:rFonts w:ascii="Arial" w:eastAsia="Arial" w:hAnsi="Arial" w:cs="Arial"/>
              <w:b w:val="0"/>
              <w:sz w:val="18"/>
            </w:rPr>
            <w:instrText>PAGE</w:instrText>
          </w:r>
          <w:r>
            <w:rPr>
              <w:rFonts w:ascii="Arial" w:eastAsia="Arial" w:hAnsi="Arial" w:cs="Arial"/>
              <w:b w:val="0"/>
              <w:sz w:val="18"/>
            </w:rPr>
            <w:fldChar w:fldCharType="separate"/>
          </w:r>
          <w:r>
            <w:rPr>
              <w:rFonts w:ascii="Arial" w:eastAsia="Arial" w:hAnsi="Arial" w:cs="Arial"/>
              <w:b w:val="0"/>
              <w:sz w:val="18"/>
            </w:rPr>
            <w:fldChar w:fldCharType="end"/>
          </w:r>
        </w:p>
      </w:tc>
    </w:tr>
  </w:tbl>
  <w:p>
    <w:pPr>
      <w:rPr>
        <w:rFonts w:ascii="Arial" w:eastAsia="Arial" w:hAnsi="Arial" w:cs="Arial"/>
        <w:b w:val="0"/>
        <w:sz w:val="18"/>
      </w:rPr>
    </w:pPr>
  </w:p>
</w:ft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stylePaneFormatFilter w:val="3F01"/>
  <w:defaultTabStop w:val="720"/>
  <w:noPunctuationKerning/>
  <w:characterSpacingControl w:val="doNotCompress"/>
  <w:endnotePr>
    <w:numFmt w:val="decimal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77B3E"/>
    <w:rsid w:val="00A77B3E"/>
    <w:rsid w:val="00CA2A55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pl-PL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pPr>
      <w:jc w:val="left"/>
    </w:pPr>
    <w:rPr>
      <w:rFonts w:ascii="Arial" w:eastAsia="Arial" w:hAnsi="Arial" w:cs="Arial"/>
      <w:sz w:val="24"/>
      <w:szCs w:val="24"/>
      <w:lang w:val="pl-PL" w:eastAsia="pl-PL" w:bidi="pl-PL"/>
    </w:rPr>
  </w:style>
  <w:style w:type="character" w:default="1" w:styleId="DefaultParagraphFont">
    <w:name w:val="Default Paragraph Font"/>
    <w:semiHidden/>
    <w:rPr>
      <w:lang w:val="pl-PL" w:eastAsia="pl-PL" w:bidi="pl-PL"/>
    </w:rPr>
  </w:style>
  <w:style w:type="table" w:default="1" w:styleId="TableNormal">
    <w:name w:val="Normal Table"/>
    <w:semiHidden/>
    <w:rPr>
      <w:lang w:val="pl-PL" w:eastAsia="pl-PL" w:bidi="pl-PL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footer" Target="footer1.xml" /><Relationship Id="rId5" Type="http://schemas.openxmlformats.org/officeDocument/2006/relationships/footer" Target="footer2.xm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/>
      </a:dk1>
      <a:lt1>
        <a:sysClr val="window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</Template>
  <TotalTime>0</TotalTime>
  <Pages>1</Pages>
  <Words>0</Words>
  <Characters>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Rada Miejska w Bytomiu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 XXXVIII/359/26 z dnia 26 października 2026 r.</dc:title>
  <dc:subject>zmieniająca uchwałę nr I/4/24 Rady Miejskiej w^Bytomiu w^sprawie powołania stałej Komisji Finansów i^Rozwoju Miasta Rady Miejskiej w^Bytomiu</dc:subject>
  <dc:creator>asteuer</dc:creator>
  <cp:lastModifiedBy>asteuer</cp:lastModifiedBy>
  <cp:revision>1</cp:revision>
  <dcterms:created xsi:type="dcterms:W3CDTF">2026-10-26T17:15:25Z</dcterms:created>
  <dcterms:modified xsi:type="dcterms:W3CDTF">2026-10-26T17:15:25Z</dcterms:modified>
  <cp:category>Akt prawny</cp:category>
</cp:coreProperties>
</file>