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XXXVIII/356/26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XXV/375/20 Rady Miejskiej w Bytomiu w sprawie szczegółowych zasad, trybu przyznawania i pozbawiania oraz rodzajów i wysokości stypendiów sportowych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2010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sporcie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XXV/375/20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2020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szczegółowych zasad, trybu przyznawania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pozbawiania oraz rodzajów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stypendiów sportowych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1852),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uchwały wprowadza się następujące zmiany: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§ 28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skreśla się wyrazy: „z wyjątkiem macierzyństwa”;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 § 30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dodaje się §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brzmieniu:</w:t>
      </w:r>
    </w:p>
    <w:p w:rsidR="00A77B3E">
      <w:pPr>
        <w:keepNext w:val="0"/>
        <w:keepLines/>
        <w:spacing w:before="120" w:after="120" w:line="276" w:lineRule="auto"/>
        <w:ind w:left="453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§ 31.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Zawodniczce, która stała się niezdolna do uprawiania sportu wskutek ciąży lub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urodzenia dziecka, stypendium wypłaca się na zasadach określonych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6a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2010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sporcie,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tym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pełnej wysokości przez okres ciąży oraz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81,5% przyznanego stypendium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okresach przewidzianych ustawą.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Nowelizacja ustawy o sporcie wprowadziła m.in. istotne zmiany w systemie stypendiów sportowych dla kobiet w ciąży i po urodzeniu dziecka. Przepisy rozszerzyły ochronę dla kobiet w ciąży oraz po urodzeniu dziecka pobierających stypendia sportowe.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przypadku stypendiów samorządowych przyznano im wsparcie na zasadach zbliżonych do tych, które przysługują członkiniom kadry narodowej.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wymogiem określonym w nowelizacji ustawy organy stanowiące jednostek samorządu terytorialnego dostosują uchwały, o których mowa w art. 31 ust. 3 ustawy do wymagań nowelizacji ustawy o sporcie w terminie 6 miesięcy od dnia jej wejścia w życie.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EB56EE39-721C-499E-B2AA-4EBC4FD75DAC.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EB56EE39-721C-499E-B2AA-4EBC4FD75DAC.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XXXVIII/356/26 z dnia 26 października 2026 r.</dc:title>
  <dc:subject>zmieniająca uchwałę nr XXV/375/20 Rady Miejskiej w^Bytomiu w^sprawie szczegółowych zasad, trybu przyznawania i^pozbawiania oraz rodzajów i^wysokości stypendiów sportowych</dc:subject>
  <dc:creator>asteuer</dc:creator>
  <cp:lastModifiedBy>asteuer</cp:lastModifiedBy>
  <cp:revision>1</cp:revision>
  <dcterms:created xsi:type="dcterms:W3CDTF">2026-10-26T17:14:32Z</dcterms:created>
  <dcterms:modified xsi:type="dcterms:W3CDTF">2026-10-26T17:14:32Z</dcterms:modified>
  <cp:category>Akt prawny</cp:category>
</cp:coreProperties>
</file>