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określenia wysokości stawek podatku od nieruchomości na terenie miasta Bytomia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1991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podatkach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opłatach lokalnych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707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Określa się roczne stawki podatku od nieruchomości:</w:t>
      </w:r>
    </w:p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od budynków lub ich części: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50"/>
        <w:gridCol w:w="8507"/>
        <w:gridCol w:w="1125"/>
      </w:tblGrid>
      <w:tr>
        <w:tblPrEx>
          <w:tblW w:w="5000" w:type="pct"/>
          <w:tblLayout w:type="fixed"/>
        </w:tblPrEx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a)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mieszkalnych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1,29</w:t>
            </w:r>
            <w:r>
              <w:t> </w:t>
            </w:r>
            <w: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95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prowadzeniem działalności gospodarczej oraz od</w:t>
            </w:r>
            <w:r>
              <w:t> </w:t>
            </w:r>
            <w:r>
              <w:t>budynków mieszkalnych lub ich części zajętych na prowadzenie działalności</w:t>
            </w:r>
            <w:r>
              <w:t> </w:t>
            </w:r>
            <w:r>
              <w:t>gospodarczej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36,49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58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zajętych na prowadzenie działalności gospodarczej w</w:t>
            </w:r>
            <w:r>
              <w:t> </w:t>
            </w:r>
            <w:r>
              <w:t>zakresie obrotu kwalifikowanym materiałem siewnym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17,09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79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udzielaniem świadczeń zdrowotnych w</w:t>
            </w:r>
            <w:r>
              <w:t> </w:t>
            </w:r>
            <w:r>
              <w:t>rozumieniu przepisów o</w:t>
            </w:r>
            <w:r>
              <w:t> </w:t>
            </w:r>
            <w:r>
              <w:t>działalności leczniczej, zajętych przez podmioty udzielające tych świadczeń</w:t>
            </w:r>
          </w:p>
          <w:p>
            <w:pPr>
              <w:jc w:val="left"/>
            </w:pPr>
            <w:r>
              <w:t>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7,47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57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e)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pozostałych, w tym zajętych na prowadzenie odpłatnej statutowej działalności pożytku publicznego przez organizacje pożytku publicznego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right"/>
            </w:pPr>
            <w:r>
              <w:t>12,33</w:t>
            </w:r>
            <w:r>
              <w:t> </w:t>
            </w:r>
            <w:r>
              <w:t>zł;</w:t>
            </w:r>
          </w:p>
        </w:tc>
      </w:tr>
    </w:tbl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 budowli: 2% wartości określonej na podstawie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–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podatkach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opłatach lokalnych;</w:t>
      </w:r>
    </w:p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 gruntów: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65"/>
        <w:gridCol w:w="8567"/>
        <w:gridCol w:w="1050"/>
      </w:tblGrid>
      <w:tr>
        <w:tblPrEx>
          <w:tblW w:w="5000" w:type="pct"/>
          <w:tblLayout w:type="fixed"/>
        </w:tblPrEx>
        <w:trPr>
          <w:trHeight w:val="54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a)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prowadzeniem działalności gospodarczej, bez względu na sposób zakwalifikowania w</w:t>
            </w:r>
            <w:r>
              <w:t> </w:t>
            </w:r>
            <w:r>
              <w:t>ewidencji gruntów i</w:t>
            </w:r>
            <w:r>
              <w:t> </w:t>
            </w:r>
            <w:r>
              <w:t>budynków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1,49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pod wodami powierzchniowymi stojącymi lub wodami powierzchniowymi płynącymi jezior i</w:t>
            </w:r>
            <w:r>
              <w:t> </w:t>
            </w:r>
            <w:r>
              <w:t>zbiorników sztucznych –</w:t>
            </w:r>
            <w:r>
              <w:t> </w:t>
            </w:r>
            <w:r>
              <w:t>od</w:t>
            </w:r>
            <w:r>
              <w:t> </w:t>
            </w:r>
            <w:r>
              <w:t>1</w:t>
            </w:r>
            <w:r>
              <w:t> </w:t>
            </w:r>
            <w:r>
              <w:t>ha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7,35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pozostałych, w</w:t>
            </w:r>
            <w:r>
              <w:t> </w:t>
            </w:r>
            <w:r>
              <w:t>tym zajętych na prowadzenie odpłatnej statutowej działalności pożytku publicznego przez organizacje pożytku publicznego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right"/>
            </w:pPr>
            <w:r>
              <w:t>0,80</w:t>
            </w:r>
            <w:r>
              <w:t> </w:t>
            </w:r>
            <w:r>
              <w:t>zł,</w:t>
            </w:r>
          </w:p>
        </w:tc>
      </w:tr>
      <w:tr>
        <w:tblPrEx>
          <w:tblW w:w="5000" w:type="pct"/>
          <w:tblLayout w:type="fixed"/>
        </w:tblPrEx>
        <w:trPr>
          <w:trHeight w:val="64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niezabudowanych objętych obszarem rewitalizacji, o</w:t>
            </w:r>
            <w:r>
              <w:t> </w:t>
            </w:r>
            <w:r>
              <w:t>którym mowa w</w:t>
            </w:r>
            <w:r>
              <w:t> </w:t>
            </w:r>
            <w:r>
              <w:t>ustawie z</w:t>
            </w:r>
            <w:r>
              <w:t> </w:t>
            </w:r>
            <w:r>
              <w:t>dnia 9</w:t>
            </w:r>
            <w:r>
              <w:t> </w:t>
            </w:r>
            <w:r>
              <w:t>października 2015</w:t>
            </w:r>
            <w:r>
              <w:t> </w:t>
            </w:r>
            <w:r>
              <w:t>r. o</w:t>
            </w:r>
            <w:r>
              <w:t> </w:t>
            </w:r>
            <w:r>
              <w:t>rewitalizacji (Dz.</w:t>
            </w:r>
            <w:r>
              <w:t> </w:t>
            </w:r>
            <w:r>
              <w:t>U. z</w:t>
            </w:r>
            <w:r>
              <w:t> </w:t>
            </w:r>
            <w:r>
              <w:t>2024</w:t>
            </w:r>
            <w:r>
              <w:t> </w:t>
            </w:r>
            <w:r>
              <w:t>r. poz.</w:t>
            </w:r>
            <w:r>
              <w:t> </w:t>
            </w:r>
            <w:r>
              <w:t>278) i</w:t>
            </w:r>
            <w:r>
              <w:t> </w:t>
            </w:r>
            <w:r>
              <w:t>położonych na terenach, dla których miejscowy plan zagospodarowania przestrzennego przewiduje przeznaczenie pod zabudowę mieszkaniową, usługową albo zabudowę o</w:t>
            </w:r>
            <w:r>
              <w:t> </w:t>
            </w:r>
            <w:r>
              <w:t>przeznaczeniu mieszanym obejmującym wyłącznie te rodzaje zabudowy, jeżeli od dnia wejścia w</w:t>
            </w:r>
            <w:r>
              <w:t> </w:t>
            </w:r>
            <w:r>
              <w:t>życie tego planu w</w:t>
            </w:r>
            <w:r>
              <w:t> </w:t>
            </w:r>
            <w:r>
              <w:t>odniesieniu do tych gruntów upłynął okres 4</w:t>
            </w:r>
            <w:r>
              <w:t> </w:t>
            </w:r>
            <w:r>
              <w:t>lat, a</w:t>
            </w:r>
            <w:r>
              <w:t> </w:t>
            </w:r>
            <w:r>
              <w:t>w tym czasie nie</w:t>
            </w:r>
            <w:r>
              <w:t> </w:t>
            </w:r>
            <w:r>
              <w:t>zakończono budowy zgodnie z</w:t>
            </w:r>
            <w:r>
              <w:t> </w:t>
            </w:r>
            <w:r>
              <w:t>przepisami prawa budowlanego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/>
          <w:p/>
          <w:p/>
          <w:p/>
          <w:p/>
          <w:p/>
          <w:p>
            <w:pPr>
              <w:jc w:val="right"/>
            </w:pPr>
            <w:r>
              <w:t>4,85 zł.</w:t>
            </w:r>
          </w:p>
        </w:tc>
      </w:tr>
    </w:tbl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Traci moc uchwała nr XXIV/214/25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listopada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wysokości stawek podatku od nieruchomości na terenie miasta Bytomia (Dz. Urz. Woj. Śl.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7074).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2027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134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ustawy o podatkach i opłatach lokalnych, górne granice stawek podatku od nieruchomości na 2027 rok waloryzowane są o wskaźnik wzrostu cen towarów i usług konsumpcyjnych w okresie pierwszego półrocza roku, w którym stawki ulegają zmianie, w stosunku do analogicznego okresu roku poprzedniego. Wskaźnik ten ogłaszany jest przez Prezesa Głównego Urzędu Statystycznego i za I półrocze 2026 roku wyniósł 2,7%.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opublikowanym wskaźnikiem, maksymalne możliwe do zastosowania na 2027 rok stawki podatkowe przeliczone zostały przez Ministra Finansów i określone w obwieszczeniu z dnia 23 lipca 2026 r. w sprawie górnych granic stawek kwotowych podatków i opłat lokalnych na rok 2027 (M. P. z dnia 28 lipca 2026 r. poz. 741).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projekcie uchwały zaproponowano na 2027 rok stawki maksymalne. Konieczność określenia stawek w takiej wysokości wiąże się z założeniami do projektu budżetu miasta Bytomia na 2027 rok, zgodnie z którymi dla ustalenia wysokości dochodów z tytułu podatku od nieruchomości przyjęto stawki określone w obwieszczeniu Ministra Finansów w sprawie górnych granic stawek kwotowych podatków i opłat lokalnych na rok 2027.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Planowane dochody z tytułu podatku od nieruchomości będą możliwe do wykonania przy uwzględnieniu stawek podatkowych na 2027 rok, ujętych w niniejszym projekcie.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134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24FAF340-34B5-4C1B-ACF3-25F66A8C86F7.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24FAF340-34B5-4C1B-ACF3-25F66A8C86F7.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XXXVIII/354/26 z dnia 26 października 2026 r.</dc:title>
  <dc:subject>w sprawie określenia wysokości stawek podatku od nieruchomości na terenie miasta Bytomia</dc:subject>
  <dc:creator>asteuer</dc:creator>
  <cp:lastModifiedBy>asteuer</cp:lastModifiedBy>
  <cp:revision>1</cp:revision>
  <dcterms:created xsi:type="dcterms:W3CDTF">2026-10-26T17:13:54Z</dcterms:created>
  <dcterms:modified xsi:type="dcterms:W3CDTF">2026-10-26T17:13:54Z</dcterms:modified>
  <cp:category>Akt prawny</cp:category>
</cp:coreProperties>
</file>