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XXXIV/312/26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22 czerwca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przyjęcia rezygnacji z funkcji Przewodniczącego Rady Miejskiej 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19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Przyjmuje się rezygnację radnego Michała Staniszewskiego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funkcji Przewodniczącego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Radny Michał Staniszewski złożył rezygnację z pełnienia funkcji Przewodniczącego Rady Miejskiej w Bytomiu. Zgodnie z treścią art. 19 ust. 5 ustawy z dnia 8 marca 1990 r. o samorządzie gminnym rada gminy podejmuje uchwałę w sprawie przyjęcia tej rezygnacji nie później niż w ciągu 1 miesiąca od dnia złożenia rezygnacji.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530DDF5D-7FFD-4132-8223-D70F68C16BBF.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530DDF5D-7FFD-4132-8223-D70F68C16BBF.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XXXIV/312/26 z dnia 22 czerwca 2026 r.</dc:title>
  <dc:subject>w sprawie przyjęcia rezygnacji z^funkcji Przewodniczącego Rady^Miejskiej w^Bytomiu</dc:subject>
  <dc:creator>asteuer</dc:creator>
  <cp:lastModifiedBy>asteuer</cp:lastModifiedBy>
  <cp:revision>1</cp:revision>
  <dcterms:created xsi:type="dcterms:W3CDTF">2026-06-26T15:49:40Z</dcterms:created>
  <dcterms:modified xsi:type="dcterms:W3CDTF">2026-06-26T15:49:40Z</dcterms:modified>
  <cp:category>Akt prawny</cp:category>
</cp:coreProperties>
</file>