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5.4.0 -->
  <w:body>
    <w:p w:rsidR="00A77B3E">
      <w:pPr>
        <w:spacing w:line="276" w:lineRule="auto"/>
        <w:ind w:left="0"/>
        <w:jc w:val="center"/>
        <w:rPr>
          <w:rFonts w:ascii="Arial" w:eastAsia="Arial" w:hAnsi="Arial" w:cs="Arial"/>
          <w:b/>
          <w:caps/>
          <w:sz w:val="24"/>
        </w:rPr>
      </w:pPr>
      <w:r>
        <w:rPr>
          <w:rFonts w:ascii="Arial" w:eastAsia="Arial" w:hAnsi="Arial" w:cs="Arial"/>
          <w:b/>
          <w:caps/>
          <w:sz w:val="24"/>
        </w:rPr>
        <w:t>Uchwała</w:t>
      </w:r>
      <w:r>
        <w:rPr>
          <w:rFonts w:ascii="Arial" w:eastAsia="Arial" w:hAnsi="Arial" w:cs="Arial"/>
          <w:b/>
          <w:caps/>
          <w:sz w:val="24"/>
        </w:rPr>
        <w:t xml:space="preserve"> nr XXIX/250/26</w:t>
      </w:r>
      <w:r>
        <w:rPr>
          <w:rFonts w:ascii="Arial" w:eastAsia="Arial" w:hAnsi="Arial" w:cs="Arial"/>
          <w:b/>
          <w:caps/>
          <w:sz w:val="24"/>
        </w:rPr>
        <w:br/>
      </w:r>
      <w:r>
        <w:rPr>
          <w:rFonts w:ascii="Arial" w:eastAsia="Arial" w:hAnsi="Arial" w:cs="Arial"/>
          <w:b/>
          <w:caps/>
          <w:sz w:val="24"/>
        </w:rPr>
        <w:t>Rady Miejskiej w Bytomiu</w:t>
      </w:r>
    </w:p>
    <w:p w:rsidR="00A77B3E">
      <w:pPr>
        <w:spacing w:before="280" w:after="280" w:line="276" w:lineRule="auto"/>
        <w:ind w:left="0"/>
        <w:jc w:val="center"/>
        <w:rPr>
          <w:rFonts w:ascii="Arial" w:eastAsia="Arial" w:hAnsi="Arial" w:cs="Arial"/>
          <w:b/>
          <w:caps/>
          <w:sz w:val="24"/>
        </w:rPr>
      </w:pPr>
      <w:r>
        <w:rPr>
          <w:rFonts w:ascii="Arial" w:eastAsia="Arial" w:hAnsi="Arial" w:cs="Arial"/>
          <w:b w:val="0"/>
          <w:caps w:val="0"/>
          <w:sz w:val="24"/>
        </w:rPr>
        <w:t>z dnia 23 marca 2026 r.</w:t>
      </w:r>
    </w:p>
    <w:p w:rsidR="00A77B3E">
      <w:pPr>
        <w:keepNext/>
        <w:spacing w:before="0" w:after="480" w:line="276" w:lineRule="auto"/>
        <w:ind w:left="0" w:right="0" w:firstLine="0"/>
        <w:jc w:val="center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caps w:val="0"/>
          <w:sz w:val="24"/>
        </w:rPr>
        <w:t>zmieniająca uchwałę budżetową miasta Bytomia na 2026 rok</w:t>
      </w:r>
    </w:p>
    <w:p w:rsidR="00A77B3E">
      <w:pPr>
        <w:keepNext w:val="0"/>
        <w:keepLines/>
        <w:spacing w:before="120" w:after="120" w:line="276" w:lineRule="auto"/>
        <w:ind w:left="0" w:right="0" w:firstLine="227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Na podstawie 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18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pkt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4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ustawy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dnia 8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marca 1990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o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samorządzie gminnym (Dz.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2025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poz.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1153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późn. zm.), 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12 pkt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5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zw.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92 ust.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pkt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ustawy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dnia 5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czerwca 1998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o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samorządzie powiatowym (Dz.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2025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poz.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1684), 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212 ustawy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dnia 27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sierpnia 2009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o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finansach publicznych (Dz.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2025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poz.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1483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późn. zm.), uchwala się, co następuje: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sz w:val="24"/>
        </w:rPr>
        <w:t>§ 1.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W budżecie miasta Bytomia na 2026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rok dokonuje się zmian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następujący sposób: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8" w:type="dxa"/>
          <w:right w:w="108" w:type="dxa"/>
        </w:tblCellMar>
      </w:tblPr>
      <w:tblGrid>
        <w:gridCol w:w="6212"/>
        <w:gridCol w:w="2040"/>
        <w:gridCol w:w="1830"/>
      </w:tblGrid>
      <w:tr>
        <w:tblPrEx>
          <w:tblW w:w="5000" w:type="pct"/>
          <w:tblLayout w:type="fixed"/>
        </w:tblPrEx>
        <w:trPr>
          <w:trHeight w:val="300"/>
        </w:trPr>
        <w:tc>
          <w:tcPr>
            <w:tcW w:w="621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rPr>
          <w:trHeight w:val="300"/>
        </w:trPr>
        <w:tc>
          <w:tcPr>
            <w:tcW w:w="621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u w:val="single"/>
              </w:rPr>
              <w:t>w zakresie zadań administracji rządowej wykonywanych przez gminę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u w:val="single"/>
              </w:rPr>
              <w:t>zwiększenie</w:t>
            </w:r>
          </w:p>
        </w:tc>
      </w:tr>
      <w:tr>
        <w:tblPrEx>
          <w:tblW w:w="5000" w:type="pct"/>
          <w:tblLayout w:type="fixed"/>
        </w:tblPrEx>
        <w:trPr>
          <w:trHeight w:val="300"/>
        </w:trPr>
        <w:tc>
          <w:tcPr>
            <w:tcW w:w="621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rPr>
          <w:trHeight w:val="300"/>
        </w:trPr>
        <w:tc>
          <w:tcPr>
            <w:tcW w:w="621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u w:val="single"/>
              </w:rPr>
              <w:t>po stronie dochodów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rPr>
          <w:trHeight w:val="300"/>
        </w:trPr>
        <w:tc>
          <w:tcPr>
            <w:tcW w:w="621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rPr>
          <w:trHeight w:val="300"/>
        </w:trPr>
        <w:tc>
          <w:tcPr>
            <w:tcW w:w="621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w dziale 750 – Administracja publiczna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718</w:t>
            </w:r>
          </w:p>
        </w:tc>
      </w:tr>
      <w:tr>
        <w:tblPrEx>
          <w:tblW w:w="5000" w:type="pct"/>
          <w:tblLayout w:type="fixed"/>
        </w:tblPrEx>
        <w:trPr>
          <w:trHeight w:val="300"/>
        </w:trPr>
        <w:tc>
          <w:tcPr>
            <w:tcW w:w="621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dochody bieżące:</w:t>
            </w:r>
          </w:p>
        </w:tc>
        <w:tc>
          <w:tcPr>
            <w:tcW w:w="204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83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718</w:t>
            </w:r>
          </w:p>
        </w:tc>
      </w:tr>
      <w:tr>
        <w:tblPrEx>
          <w:tblW w:w="5000" w:type="pct"/>
          <w:tblLayout w:type="fixed"/>
        </w:tblPrEx>
        <w:trPr>
          <w:trHeight w:val="300"/>
        </w:trPr>
        <w:tc>
          <w:tcPr>
            <w:tcW w:w="621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 środki z Funduszu Pomocy na realizację zadań w</w:t>
            </w:r>
            <w:r>
              <w:t> </w:t>
            </w:r>
            <w:r>
              <w:t xml:space="preserve">zakresie pomocy obywatelom Ukrainy 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718</w:t>
            </w:r>
          </w:p>
        </w:tc>
      </w:tr>
      <w:tr>
        <w:tblPrEx>
          <w:tblW w:w="5000" w:type="pct"/>
          <w:tblLayout w:type="fixed"/>
        </w:tblPrEx>
        <w:trPr>
          <w:trHeight w:val="300"/>
        </w:trPr>
        <w:tc>
          <w:tcPr>
            <w:tcW w:w="621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rPr>
          <w:trHeight w:val="300"/>
        </w:trPr>
        <w:tc>
          <w:tcPr>
            <w:tcW w:w="621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w dziale 855 – Rodzina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37 835</w:t>
            </w:r>
          </w:p>
        </w:tc>
      </w:tr>
      <w:tr>
        <w:tblPrEx>
          <w:tblW w:w="5000" w:type="pct"/>
          <w:tblLayout w:type="fixed"/>
        </w:tblPrEx>
        <w:trPr>
          <w:trHeight w:val="300"/>
        </w:trPr>
        <w:tc>
          <w:tcPr>
            <w:tcW w:w="621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dochody bieżące:</w:t>
            </w:r>
          </w:p>
        </w:tc>
        <w:tc>
          <w:tcPr>
            <w:tcW w:w="204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83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37 835</w:t>
            </w:r>
          </w:p>
        </w:tc>
      </w:tr>
      <w:tr>
        <w:tblPrEx>
          <w:tblW w:w="5000" w:type="pct"/>
          <w:tblLayout w:type="fixed"/>
        </w:tblPrEx>
        <w:trPr>
          <w:trHeight w:val="300"/>
        </w:trPr>
        <w:tc>
          <w:tcPr>
            <w:tcW w:w="621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 środki z Funduszu Pomocy na realizację zadań w</w:t>
            </w:r>
            <w:r>
              <w:t> </w:t>
            </w:r>
            <w:r>
              <w:t xml:space="preserve">zakresie pomocy obywatelom Ukrainy 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37 835</w:t>
            </w:r>
          </w:p>
        </w:tc>
      </w:tr>
      <w:tr>
        <w:tblPrEx>
          <w:tblW w:w="5000" w:type="pct"/>
          <w:tblLayout w:type="fixed"/>
        </w:tblPrEx>
        <w:trPr>
          <w:trHeight w:val="300"/>
        </w:trPr>
        <w:tc>
          <w:tcPr>
            <w:tcW w:w="621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rPr>
          <w:trHeight w:val="300"/>
        </w:trPr>
        <w:tc>
          <w:tcPr>
            <w:tcW w:w="621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both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u w:val="single"/>
              </w:rPr>
              <w:t>po stronie wydatków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rPr>
          <w:trHeight w:val="300"/>
        </w:trPr>
        <w:tc>
          <w:tcPr>
            <w:tcW w:w="621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both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rPr>
          <w:trHeight w:val="300"/>
        </w:trPr>
        <w:tc>
          <w:tcPr>
            <w:tcW w:w="621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w dziale 750 – Administracja publiczna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718</w:t>
            </w:r>
          </w:p>
        </w:tc>
      </w:tr>
      <w:tr>
        <w:tblPrEx>
          <w:tblW w:w="5000" w:type="pct"/>
          <w:tblLayout w:type="fixed"/>
        </w:tblPrEx>
        <w:trPr>
          <w:trHeight w:val="300"/>
        </w:trPr>
        <w:tc>
          <w:tcPr>
            <w:tcW w:w="621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rozdz. 75095 – Pozostała działalność</w:t>
            </w:r>
          </w:p>
        </w:tc>
        <w:tc>
          <w:tcPr>
            <w:tcW w:w="204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83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718</w:t>
            </w:r>
          </w:p>
        </w:tc>
      </w:tr>
      <w:tr>
        <w:tblPrEx>
          <w:tblW w:w="5000" w:type="pct"/>
          <w:tblLayout w:type="fixed"/>
        </w:tblPrEx>
        <w:trPr>
          <w:trHeight w:val="300"/>
        </w:trPr>
        <w:tc>
          <w:tcPr>
            <w:tcW w:w="621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wydatki bieżące:</w:t>
            </w:r>
          </w:p>
        </w:tc>
        <w:tc>
          <w:tcPr>
            <w:tcW w:w="204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83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718</w:t>
            </w:r>
          </w:p>
        </w:tc>
      </w:tr>
      <w:tr>
        <w:tblPrEx>
          <w:tblW w:w="5000" w:type="pct"/>
          <w:tblLayout w:type="fixed"/>
        </w:tblPrEx>
        <w:trPr>
          <w:trHeight w:val="300"/>
        </w:trPr>
        <w:tc>
          <w:tcPr>
            <w:tcW w:w="621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 wydatki jednostek budżetowych, w tym na: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718</w:t>
            </w:r>
          </w:p>
        </w:tc>
      </w:tr>
      <w:tr>
        <w:tblPrEx>
          <w:tblW w:w="5000" w:type="pct"/>
          <w:tblLayout w:type="fixed"/>
        </w:tblPrEx>
        <w:trPr>
          <w:trHeight w:val="300"/>
        </w:trPr>
        <w:tc>
          <w:tcPr>
            <w:tcW w:w="621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 – wynagrodzenia i składki od nich naliczane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718</w:t>
            </w:r>
          </w:p>
        </w:tc>
      </w:tr>
      <w:tr>
        <w:tblPrEx>
          <w:tblW w:w="5000" w:type="pct"/>
          <w:tblLayout w:type="fixed"/>
        </w:tblPrEx>
        <w:trPr>
          <w:trHeight w:val="300"/>
        </w:trPr>
        <w:tc>
          <w:tcPr>
            <w:tcW w:w="621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rPr>
          <w:trHeight w:val="300"/>
        </w:trPr>
        <w:tc>
          <w:tcPr>
            <w:tcW w:w="621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w dziale 855 – Rodzina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37 835</w:t>
            </w:r>
          </w:p>
        </w:tc>
      </w:tr>
      <w:tr>
        <w:tblPrEx>
          <w:tblW w:w="5000" w:type="pct"/>
          <w:tblLayout w:type="fixed"/>
        </w:tblPrEx>
        <w:trPr>
          <w:trHeight w:val="300"/>
        </w:trPr>
        <w:tc>
          <w:tcPr>
            <w:tcW w:w="621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rozdz. 85595 – Pozostała działalność</w:t>
            </w:r>
          </w:p>
        </w:tc>
        <w:tc>
          <w:tcPr>
            <w:tcW w:w="204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83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37 835</w:t>
            </w:r>
          </w:p>
        </w:tc>
      </w:tr>
      <w:tr>
        <w:tblPrEx>
          <w:tblW w:w="5000" w:type="pct"/>
          <w:tblLayout w:type="fixed"/>
        </w:tblPrEx>
        <w:trPr>
          <w:trHeight w:val="300"/>
        </w:trPr>
        <w:tc>
          <w:tcPr>
            <w:tcW w:w="621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wydatki bieżące: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37 835</w:t>
            </w:r>
          </w:p>
        </w:tc>
      </w:tr>
      <w:tr>
        <w:tblPrEx>
          <w:tblW w:w="5000" w:type="pct"/>
          <w:tblLayout w:type="fixed"/>
        </w:tblPrEx>
        <w:trPr>
          <w:trHeight w:val="300"/>
        </w:trPr>
        <w:tc>
          <w:tcPr>
            <w:tcW w:w="621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 wydatki jednostek budżetowych, w tym na: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1 135</w:t>
            </w:r>
          </w:p>
        </w:tc>
      </w:tr>
      <w:tr>
        <w:tblPrEx>
          <w:tblW w:w="5000" w:type="pct"/>
          <w:tblLayout w:type="fixed"/>
        </w:tblPrEx>
        <w:trPr>
          <w:trHeight w:val="300"/>
        </w:trPr>
        <w:tc>
          <w:tcPr>
            <w:tcW w:w="621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 – wynagrodzenia i składki od nich naliczane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1 135</w:t>
            </w:r>
          </w:p>
        </w:tc>
      </w:tr>
      <w:tr>
        <w:tblPrEx>
          <w:tblW w:w="5000" w:type="pct"/>
          <w:tblLayout w:type="fixed"/>
        </w:tblPrEx>
        <w:trPr>
          <w:trHeight w:val="300"/>
        </w:trPr>
        <w:tc>
          <w:tcPr>
            <w:tcW w:w="621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 świadczenia na rzecz osób fizycznych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36 700</w:t>
            </w:r>
          </w:p>
        </w:tc>
      </w:tr>
      <w:tr>
        <w:tblPrEx>
          <w:tblW w:w="5000" w:type="pct"/>
          <w:tblLayout w:type="fixed"/>
        </w:tblPrEx>
        <w:trPr>
          <w:trHeight w:val="1005"/>
        </w:trPr>
        <w:tc>
          <w:tcPr>
            <w:tcW w:w="621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</w:tr>
    </w:tbl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rFonts w:ascii="Arial" w:eastAsia="Arial" w:hAnsi="Arial" w:cs="Arial"/>
          <w:b/>
          <w:sz w:val="24"/>
        </w:rPr>
        <w:t>§ 2.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Wykonanie uchwały powierza się Prezydentowi Miasta.</w:t>
      </w:r>
    </w:p>
    <w:p w:rsidR="00A77B3E">
      <w:pPr>
        <w:keepNext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rFonts w:ascii="Arial" w:eastAsia="Arial" w:hAnsi="Arial" w:cs="Arial"/>
          <w:b/>
          <w:sz w:val="24"/>
        </w:rPr>
        <w:t>§ 3.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Uchwała podlega ogłoszeniu w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Dzienniku Urzędowym Województwa Śląskiego i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wchodzi w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życie z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dniem podjęcia.</w:t>
      </w:r>
    </w:p>
    <w:p w:rsidR="00A77B3E">
      <w:pPr>
        <w:keepNext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</w:p>
    <w:p w:rsidR="00A77B3E">
      <w:pPr>
        <w:keepNext/>
        <w:spacing w:before="0" w:after="0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b w:val="0"/>
          <w:i w:val="0"/>
          <w:color w:val="000000"/>
          <w:u w:val="none"/>
          <w:vertAlign w:val="baseline"/>
        </w:rPr>
        <w:t> </w:t>
      </w:r>
    </w:p>
    <w:tbl>
      <w:tblPr>
        <w:tblW w:w="5000" w:type="pct"/>
        <w:tblCellMar>
          <w:top w:w="0" w:type="dxa"/>
          <w:left w:w="0" w:type="dxa"/>
          <w:bottom w:w="0" w:type="dxa"/>
          <w:right w:w="0" w:type="dxa"/>
        </w:tblCellMar>
      </w:tblPr>
      <w:tblGrid>
        <w:gridCol w:w="4933"/>
        <w:gridCol w:w="4933"/>
      </w:tblGrid>
      <w:tr>
        <w:tblPrEx>
          <w:tblW w:w="5000" w:type="pct"/>
        </w:tblPrEx>
        <w:tc>
          <w:tcPr>
            <w:tcW w:w="2500" w:type="pc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keepNext/>
              <w:keepLines/>
              <w:jc w:val="left"/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</w:pPr>
          </w:p>
        </w:tc>
        <w:tc>
          <w:tcPr>
            <w:tcW w:w="2500" w:type="pc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keepNext/>
              <w:keepLines/>
              <w:spacing w:before="100" w:after="40"/>
              <w:ind w:left="1134" w:right="1134" w:firstLine="0"/>
              <w:jc w:val="center"/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</w:pP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t>Przewodniczący Rady Miejskiej</w:t>
            </w: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b/>
                <w:i w:val="0"/>
              </w:rPr>
              <w:t>Michał Staniszewski</w:t>
            </w:r>
          </w:p>
        </w:tc>
      </w:tr>
    </w:tbl>
    <w:p w:rsidR="00A77B3E">
      <w:pPr>
        <w:keepNext/>
        <w:spacing w:before="0" w:after="0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sectPr>
          <w:footerReference w:type="default" r:id="rId4"/>
          <w:endnotePr>
            <w:numFmt w:val="decimal"/>
          </w:endnotePr>
          <w:pgSz w:w="11906" w:h="16838"/>
          <w:pgMar w:top="1417" w:right="1020" w:bottom="992" w:left="1020" w:header="708" w:footer="708" w:gutter="0"/>
          <w:cols w:space="708"/>
          <w:docGrid w:linePitch="360"/>
        </w:sect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contextualSpacing w:val="0"/>
        <w:jc w:val="center"/>
        <w:rPr>
          <w:rFonts w:eastAsia="Times New Roman" w:cs="Times New Roman"/>
          <w:szCs w:val="20"/>
        </w:rPr>
      </w:pPr>
      <w:r>
        <w:rPr>
          <w:rFonts w:eastAsia="Times New Roman" w:cs="Times New Roman"/>
          <w:caps/>
          <w:szCs w:val="20"/>
        </w:rPr>
        <w:t>Uzasadnienie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W związku z otrzymanymi ze Śląskiego Urzędu Wojewódzkiego w Katowicach środkami z Funduszu Pomocy na realizację zadań w zakresie pomocy obywatelom Ukrainy w związku z konfliktem zbrojnym na terytorium tego państwa, dokonuje się zmian budżetu miasta Bytomia na 2026 rok po stronie zaplanowanych dochodów i wydatków budżetowych w ramach zadań administracji rządowej wykonywanych przez gminę.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Po stronie dochodów zwiększa się plan łącznie o kwotę 38 553 zł, którą po stronie wydatkowej przeznacza się: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– w dziale 750, rozdz. 75095 w kwocie 718 zł na dofinansowanie wynagrodzeń pracowników, wykonujących zadania z zakresu nadawania osobom wnioskującym numerów PESEL, w Wydziale Kadr, Płac i Szkoleń,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– w dziale 855, rozdz. 85595 w kwocie 37 835 zł na wypłatę świadczeń rodzinnych i rodzicielskich w Miejskim Ośrodku Pomocy Rodzinie.</w:t>
      </w:r>
    </w:p>
    <w:sectPr>
      <w:footerReference w:type="default" r:id="rId5"/>
      <w:endnotePr>
        <w:numFmt w:val="decimal"/>
      </w:endnotePr>
      <w:type w:val="nextPage"/>
      <w:pgSz w:w="11906" w:h="16838" w:code="0"/>
      <w:pgMar w:top="1417" w:right="1020" w:bottom="992" w:left="102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</w:tblPrEx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lef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>Id: CEC2810A-51BA-4A31-AF81-5B55C52D1488.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righ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 xml:space="preserve">Strona </w:t>
          </w:r>
          <w:r>
            <w:rPr>
              <w:rFonts w:ascii="Arial" w:eastAsia="Arial" w:hAnsi="Arial" w:cs="Arial"/>
              <w:b w:val="0"/>
              <w:sz w:val="18"/>
            </w:rPr>
            <w:fldChar w:fldCharType="begin"/>
          </w:r>
          <w:r>
            <w:rPr>
              <w:rFonts w:ascii="Arial" w:eastAsia="Arial" w:hAnsi="Arial" w:cs="Arial"/>
              <w:b w:val="0"/>
              <w:sz w:val="18"/>
            </w:rPr>
            <w:instrText>PAGE</w:instrText>
          </w:r>
          <w:r>
            <w:rPr>
              <w:rFonts w:ascii="Arial" w:eastAsia="Arial" w:hAnsi="Arial" w:cs="Arial"/>
              <w:b w:val="0"/>
              <w:sz w:val="18"/>
            </w:rPr>
            <w:fldChar w:fldCharType="separate"/>
          </w:r>
          <w:r>
            <w:rPr>
              <w:rFonts w:ascii="Arial" w:eastAsia="Arial" w:hAnsi="Arial" w:cs="Arial"/>
              <w:b w:val="0"/>
              <w:sz w:val="18"/>
            </w:rPr>
            <w:fldChar w:fldCharType="end"/>
          </w:r>
        </w:p>
      </w:tc>
    </w:tr>
  </w:tbl>
  <w:p>
    <w:pPr>
      <w:rPr>
        <w:rFonts w:ascii="Arial" w:eastAsia="Arial" w:hAnsi="Arial" w:cs="Arial"/>
        <w:b w:val="0"/>
        <w:sz w:val="18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</w:tblPrEx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lef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>Id: CEC2810A-51BA-4A31-AF81-5B55C52D1488.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righ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 xml:space="preserve">Strona </w:t>
          </w:r>
          <w:r>
            <w:rPr>
              <w:rFonts w:ascii="Arial" w:eastAsia="Arial" w:hAnsi="Arial" w:cs="Arial"/>
              <w:b w:val="0"/>
              <w:sz w:val="18"/>
            </w:rPr>
            <w:fldChar w:fldCharType="begin"/>
          </w:r>
          <w:r>
            <w:rPr>
              <w:rFonts w:ascii="Arial" w:eastAsia="Arial" w:hAnsi="Arial" w:cs="Arial"/>
              <w:b w:val="0"/>
              <w:sz w:val="18"/>
            </w:rPr>
            <w:instrText>PAGE</w:instrText>
          </w:r>
          <w:r>
            <w:rPr>
              <w:rFonts w:ascii="Arial" w:eastAsia="Arial" w:hAnsi="Arial" w:cs="Arial"/>
              <w:b w:val="0"/>
              <w:sz w:val="18"/>
            </w:rPr>
            <w:fldChar w:fldCharType="separate"/>
          </w:r>
          <w:r>
            <w:rPr>
              <w:rFonts w:ascii="Arial" w:eastAsia="Arial" w:hAnsi="Arial" w:cs="Arial"/>
              <w:b w:val="0"/>
              <w:sz w:val="18"/>
            </w:rPr>
            <w:fldChar w:fldCharType="end"/>
          </w:r>
        </w:p>
      </w:tc>
    </w:tr>
  </w:tbl>
  <w:p>
    <w:pPr>
      <w:rPr>
        <w:rFonts w:ascii="Arial" w:eastAsia="Arial" w:hAnsi="Arial" w:cs="Arial"/>
        <w:b w:val="0"/>
        <w:sz w:val="18"/>
      </w:rPr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endnotePr>
    <w:numFmt w:val="decimal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jc w:val="left"/>
    </w:pPr>
    <w:rPr>
      <w:rFonts w:ascii="Arial" w:eastAsia="Arial" w:hAnsi="Arial" w:cs="Arial"/>
      <w:sz w:val="24"/>
      <w:szCs w:val="24"/>
      <w:lang w:val="pl-PL" w:eastAsia="pl-PL" w:bidi="pl-PL"/>
    </w:rPr>
  </w:style>
  <w:style w:type="character" w:default="1" w:styleId="DefaultParagraphFont">
    <w:name w:val="Default Paragraph Font"/>
    <w:semiHidden/>
    <w:rPr>
      <w:lang w:val="pl-PL" w:eastAsia="pl-PL" w:bidi="pl-PL"/>
    </w:rPr>
  </w:style>
  <w:style w:type="table" w:default="1" w:styleId="TableNormal">
    <w:name w:val="Normal Table"/>
    <w:semiHidden/>
    <w:rPr>
      <w:lang w:val="pl-PL" w:eastAsia="pl-PL" w:bidi="pl-P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footer" Target="footer2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/>
      </a:dk1>
      <a:lt1>
        <a:sysClr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Rada Miejska w Bytomiu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 XXIX/250/26 z dnia 23 marca 2026 r.</dc:title>
  <dc:subject>zmieniająca uchwałę budżetową miasta Bytomia na 2026^rok</dc:subject>
  <dc:creator>masocha</dc:creator>
  <cp:lastModifiedBy>masocha</cp:lastModifiedBy>
  <cp:revision>1</cp:revision>
  <dcterms:created xsi:type="dcterms:W3CDTF">2026-03-24T14:48:37Z</dcterms:created>
  <dcterms:modified xsi:type="dcterms:W3CDTF">2026-03-24T14:48:37Z</dcterms:modified>
  <cp:category>Akt prawny</cp:category>
</cp:coreProperties>
</file>