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XIX/178/25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rozpatrzenia petycji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petycjach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870)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 uwzględnia się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petycji złożonej przez mieszkańców ulicy Siemianowickiej wyrażającej sprzeciw budowie hal magazynowych 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rejonie zamieszkiwanej przez nich ulicy.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Uzasadnienie rozstrzygnięcia petycji znajduje się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uzasadnieniu 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Zobowiązuje się Przewodniczącego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do powiadomienia składającego petycję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sposobie jej rozpatrzenia poprzez przesłanie uchwały wraz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uzasadnieniem.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7 maja 2025 roku do Urzędu Miejskiego w Bytomiu wpłynęło pismo mieszkańców ulicy Siemianowickiej, w którym wyrazili sprzeciw budowie hal magazynowych w rejonie zamieszkiwanej przez nich ulicy.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posiedzeniu w dniu 19 maja 2025 r., po zapoznaniu się z opinią prawną radcy prawnego kancelarii prawnej prowadzącej obsługę prawną Urzędu Miejskiego w Bytomiu, zakwalifikowała przedmiotowe pismo jako petycję.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po przeanalizowaniu treści petycji i przedstawionych przez Prezydenta Miasta informacji o wynikach dyskusji z mieszkańcami, postanowiła na posiedzeniu w dniu 21 lipca 2025 r. nie uwzględnić ww. petycji.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Teren, na którym miałyby powstać sporne hale magazynowe, w miejscowym planie zagospodarowania przestrzennego przeznaczony jest pod funkcje usługowo -produkcyjne (w tym magazynowe), co polityka przestrzenna miasta utrzymuje od ponad 30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wyniku porozumienia z mieszkańcami została jednak zwiększona z 10 m do 15 m szerokość minimalnej „strefy buforowej”, czyli wyznaczonych w planie pasów zieleni izolacyjnej na granicy terenów usługowo-produkcyjnych i mieszkaniowo-usługowych w miejscowym planie zagospodarowania przestrzennego.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Bytomiu w ślad za ustaleniami Komisji Skarg, Wniosków i Petycji postanawia nie uwzględnić niniejszej petycji.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50736D6E-605A-4C59-B517-CBAF25946624.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50736D6E-605A-4C59-B517-CBAF25946624.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XIX/178/25 z dnia 28 lipca 2025 r.</dc:title>
  <dc:subject>w sprawie rozpatrzenia petycji</dc:subject>
  <dc:creator>asteuer</dc:creator>
  <cp:lastModifiedBy>asteuer</cp:lastModifiedBy>
  <cp:revision>1</cp:revision>
  <dcterms:created xsi:type="dcterms:W3CDTF">2025-07-31T09:34:13Z</dcterms:created>
  <dcterms:modified xsi:type="dcterms:W3CDTF">2025-07-31T09:34:13Z</dcterms:modified>
  <cp:category>Akt prawny</cp:category>
</cp:coreProperties>
</file>