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741A9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XIX/171/25</w:t>
      </w:r>
      <w:r>
        <w:rPr>
          <w:b/>
          <w:caps/>
        </w:rPr>
        <w:br/>
        <w:t>Rady Miejskiej w Bytomiu</w:t>
      </w:r>
    </w:p>
    <w:p w:rsidR="00A77B3E" w:rsidRDefault="00741A96">
      <w:pPr>
        <w:spacing w:before="280" w:after="280" w:line="276" w:lineRule="auto"/>
        <w:jc w:val="center"/>
        <w:rPr>
          <w:b/>
          <w:caps/>
        </w:rPr>
      </w:pPr>
      <w:r>
        <w:t>z dnia 28 lipca 2025 r.</w:t>
      </w:r>
    </w:p>
    <w:p w:rsidR="00A77B3E" w:rsidRDefault="00741A96">
      <w:pPr>
        <w:keepNext/>
        <w:spacing w:after="480" w:line="276" w:lineRule="auto"/>
        <w:jc w:val="center"/>
      </w:pPr>
      <w:r>
        <w:rPr>
          <w:b/>
        </w:rPr>
        <w:t>zmieniająca uchwałę nr XXXVIII/487/17 Rady Miejskiej w Bytomiu w sprawie przyjęcia „Gminnego Programu Rewitalizacji. Bytom 2020+”</w:t>
      </w:r>
    </w:p>
    <w:p w:rsidR="00A77B3E" w:rsidRDefault="00741A96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15 ustawy z dnia 8 </w:t>
      </w:r>
      <w:r>
        <w:t>marca 1990 r. o samorządzie gminnym (Dz. U. z 2024 r. poz. 1465, z </w:t>
      </w:r>
      <w:proofErr w:type="spellStart"/>
      <w:r>
        <w:t>późn</w:t>
      </w:r>
      <w:proofErr w:type="spellEnd"/>
      <w:r>
        <w:t>. zm.) oraz art. 14 ust.1, art. 22 i art. 23 ustawy z dnia 9 października 2015 r. o rewitalizacji (Dz. U. z 2024 r. poz. 278) uchwala się, co następuje:</w:t>
      </w:r>
    </w:p>
    <w:p w:rsidR="00A77B3E" w:rsidRDefault="00741A96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uchwale nr XXXVIII/487/17</w:t>
      </w:r>
      <w:r>
        <w:t xml:space="preserve"> Rady Miejskiej w Bytomiu z dnia 27 lutego 2017 r. w sprawie przyjęcia „Gminnego Programu Rewitalizacji. Bytom 2020+” z </w:t>
      </w:r>
      <w:proofErr w:type="spellStart"/>
      <w:r>
        <w:t>późn</w:t>
      </w:r>
      <w:proofErr w:type="spellEnd"/>
      <w:r>
        <w:t>. zm., załącznik do uchwały - „Gminny Program Rewitalizacji. Bytom 2020+” otrzymuje brzmienie zgodne z załącznikiem do niniejszej uc</w:t>
      </w:r>
      <w:r>
        <w:t>hwały.</w:t>
      </w:r>
    </w:p>
    <w:p w:rsidR="00A77B3E" w:rsidRDefault="00741A96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741A96">
      <w:pPr>
        <w:keepNext/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Uchwała wchodzi w życie z dniem podjęcia.</w:t>
      </w:r>
    </w:p>
    <w:p w:rsidR="00A77B3E" w:rsidRDefault="00741A96">
      <w:pPr>
        <w:keepNext/>
        <w:keepLines/>
        <w:spacing w:before="120" w:after="120" w:line="276" w:lineRule="auto"/>
        <w:ind w:firstLine="227"/>
      </w:pPr>
      <w:r>
        <w:t>  </w:t>
      </w:r>
    </w:p>
    <w:p w:rsidR="00A77B3E" w:rsidRDefault="00741A96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8F6C71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6C71" w:rsidRDefault="008F6C71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6C71" w:rsidRDefault="00741A96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 w:rsidRDefault="00741A96">
      <w:pPr>
        <w:keepNext/>
        <w:spacing w:before="120" w:after="120" w:line="276" w:lineRule="auto"/>
        <w:ind w:left="4535"/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lastRenderedPageBreak/>
        <w:t>Załącznik do uchwały Nr XIX/171/25</w:t>
      </w:r>
      <w:r>
        <w:br/>
        <w:t>Rady Miejskiej w Bytomiu</w:t>
      </w:r>
      <w:r>
        <w:br/>
        <w:t>z dnia 28 lipca 2025 r.</w:t>
      </w:r>
      <w:r>
        <w:br/>
      </w:r>
      <w:hyperlink r:id="rId8" w:history="1">
        <w:r>
          <w:rPr>
            <w:rStyle w:val="Hipercze"/>
            <w:color w:val="auto"/>
            <w:u w:val="none"/>
          </w:rPr>
          <w:t>Zalacznik1.pdf</w:t>
        </w:r>
      </w:hyperlink>
    </w:p>
    <w:p w:rsidR="008F6C71" w:rsidRDefault="008F6C71">
      <w:pPr>
        <w:rPr>
          <w:rFonts w:eastAsia="Times New Roman" w:cs="Times New Roman"/>
          <w:szCs w:val="20"/>
        </w:rPr>
      </w:pPr>
    </w:p>
    <w:p w:rsidR="008F6C71" w:rsidRDefault="00741A96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„Gminny Program </w:t>
      </w:r>
      <w:r>
        <w:rPr>
          <w:rFonts w:eastAsia="Times New Roman" w:cs="Times New Roman"/>
          <w:szCs w:val="20"/>
        </w:rPr>
        <w:t>Rewitalizacji. Bytom 2020+” został przyjęty uchwałą nr XXXVIII/487/17 Rady Miejskiej w Bytomiu z dnia 27 lutego 2017 r. Uchwała została zmieniona: uchwałą nr XVII/223/19 Rady Miejskiej w Bytomiu z dnia 23 września 2019 r., uchwałą nr XXVI/392/20 Rady Miejs</w:t>
      </w:r>
      <w:r>
        <w:rPr>
          <w:rFonts w:eastAsia="Times New Roman" w:cs="Times New Roman"/>
          <w:szCs w:val="20"/>
        </w:rPr>
        <w:t>kiej w Bytomiu z dnia 23 marca 2020 r., uchwałą nr XLV/618/21 Rady Miejskiej w Bytomiu z dnia 26 lipca 2021 r. oraz uchwałą nr LXXXIV/1059/23 Rady Miejskiej w Bytomiu z dnia 25 września 2023 r.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dniu 15 marca 2024 r. Rada Miejska w Bytomiu podjęta uchwałę</w:t>
      </w:r>
      <w:r>
        <w:rPr>
          <w:rFonts w:eastAsia="Times New Roman" w:cs="Times New Roman"/>
          <w:szCs w:val="20"/>
        </w:rPr>
        <w:t xml:space="preserve"> nr XCI/1143/24 w sprawie przystąpienia do aktualizacji „Gminnego Programu Rewitalizacji. Bytom 2020+”. Przesłankami do zmiany programu były: konieczność identyfikacji nowych przedsięwzięć rewitalizacyjnych, w odpowiedzi na zmieniające się problemy i nowe </w:t>
      </w:r>
      <w:r>
        <w:rPr>
          <w:rFonts w:eastAsia="Times New Roman" w:cs="Times New Roman"/>
          <w:szCs w:val="20"/>
        </w:rPr>
        <w:t>wyzwania oraz konieczność dostosowania zapisów programu do wymogów dokumentu pn. „Zasady opiniowania gminnych programów rewitalizacji oraz prowadzenia Wykazu Gminnych Programów Rewitalizacji Województwa Śląskiego w ramach FE SL 2021-2027”.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Nabór propozycji</w:t>
      </w:r>
      <w:r>
        <w:rPr>
          <w:rFonts w:eastAsia="Times New Roman" w:cs="Times New Roman"/>
          <w:szCs w:val="20"/>
        </w:rPr>
        <w:t xml:space="preserve"> przedsięwzięć rewitalizacyjnych odbył się w terminie od 24 kwietnia do 27 maja 2024 r. Wśród zaproponowanych przedsięwzięć znalazły się m.in. projekty dotyczące przywrócenia lub nadania nowych funkcji zdegradowanym budynkom i obiektom, zagospodarowania pr</w:t>
      </w:r>
      <w:r>
        <w:rPr>
          <w:rFonts w:eastAsia="Times New Roman" w:cs="Times New Roman"/>
          <w:szCs w:val="20"/>
        </w:rPr>
        <w:t xml:space="preserve">zestrzeni publicznych, rewitalizacji i zagospodarowania terenów poprzemysłowych, remontów i modernizacji części wspólnych wielorodzinnych budynków mieszkalnych, poprawy efektywności energetycznej budynków użyteczności publicznej i wielorodzinnych budynków </w:t>
      </w:r>
      <w:r>
        <w:rPr>
          <w:rFonts w:eastAsia="Times New Roman" w:cs="Times New Roman"/>
          <w:szCs w:val="20"/>
        </w:rPr>
        <w:t>mieszkalnych oraz ochrony dziedzictwa kulturowego poprzez poprawę stanu obiektów zabytkowych.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Proces zmiany „Gminnego Programu Rewitalizacji. Bytom 2020+” uwzględniał: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1)aktualizację zapisów Rozdziału 1.1. Bytom jako </w:t>
      </w:r>
      <w:proofErr w:type="spellStart"/>
      <w:r>
        <w:rPr>
          <w:rFonts w:eastAsia="Times New Roman" w:cs="Times New Roman"/>
          <w:szCs w:val="20"/>
        </w:rPr>
        <w:t>rewitalizowany</w:t>
      </w:r>
      <w:proofErr w:type="spellEnd"/>
      <w:r>
        <w:rPr>
          <w:rFonts w:eastAsia="Times New Roman" w:cs="Times New Roman"/>
          <w:szCs w:val="20"/>
        </w:rPr>
        <w:t xml:space="preserve"> ośrodek miejski w kontek</w:t>
      </w:r>
      <w:r>
        <w:rPr>
          <w:rFonts w:eastAsia="Times New Roman" w:cs="Times New Roman"/>
          <w:szCs w:val="20"/>
        </w:rPr>
        <w:t>ście zapisów lokalnych, regionalnych i krajowych dokumentów strategicznych i programowych;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2)uzupełnienie zapisów Rozdziału 3.2. Włączenie </w:t>
      </w:r>
      <w:proofErr w:type="spellStart"/>
      <w:r>
        <w:rPr>
          <w:rFonts w:eastAsia="Times New Roman" w:cs="Times New Roman"/>
          <w:szCs w:val="20"/>
        </w:rPr>
        <w:t>interesariuszy</w:t>
      </w:r>
      <w:proofErr w:type="spellEnd"/>
      <w:r>
        <w:rPr>
          <w:rFonts w:eastAsia="Times New Roman" w:cs="Times New Roman"/>
          <w:szCs w:val="20"/>
        </w:rPr>
        <w:t xml:space="preserve"> rewitalizacji – partycypacja w procesie tworzenia i wdrażania „Gminnego Programu Rewitalizacji. Bytom </w:t>
      </w:r>
      <w:r>
        <w:rPr>
          <w:rFonts w:eastAsia="Times New Roman" w:cs="Times New Roman"/>
          <w:szCs w:val="20"/>
        </w:rPr>
        <w:t>2020+”;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3)ujednolicenie zapisów w Rozdziale 3.2.2. Udział </w:t>
      </w:r>
      <w:proofErr w:type="spellStart"/>
      <w:r>
        <w:rPr>
          <w:rFonts w:eastAsia="Times New Roman" w:cs="Times New Roman"/>
          <w:szCs w:val="20"/>
        </w:rPr>
        <w:t>interesariuszy</w:t>
      </w:r>
      <w:proofErr w:type="spellEnd"/>
      <w:r>
        <w:rPr>
          <w:rFonts w:eastAsia="Times New Roman" w:cs="Times New Roman"/>
          <w:szCs w:val="20"/>
        </w:rPr>
        <w:t xml:space="preserve"> w procesie wdrażania GPR dotyczących Komitetu Rewitalizacji zgodnie z treścią uchwały Rady Miejskiej w Bytomiu nr XLV/618/21;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4)uzupełnienie zapisów Rozdziału 3.3.1. Wiązki projektów </w:t>
      </w:r>
      <w:r>
        <w:rPr>
          <w:rFonts w:eastAsia="Times New Roman" w:cs="Times New Roman"/>
          <w:szCs w:val="20"/>
        </w:rPr>
        <w:t>oraz lista planowanych podstawowych przedsięwzięć rewitalizacyjnych;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5)uzupełnienie zapisów Rozdziału 3.3.2. Charakterystyka pozostałych przedsięwzięć rewitalizacyjnych poprzez dodanie projektów;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6)przeniesienie do Rozdziału 3.3.2. Charakterystyka pozostał</w:t>
      </w:r>
      <w:r>
        <w:rPr>
          <w:rFonts w:eastAsia="Times New Roman" w:cs="Times New Roman"/>
          <w:szCs w:val="20"/>
        </w:rPr>
        <w:t>ych przedsięwzięć rewitalizacyjnych przedsięwzięć z załącznika nr 4 – „Lista przedsięwzięć uzupełniających";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t>7)aktualizację zapisów tabeli finansowej w Rozdziale 4.3. Ramowy harmonogram wdrażania GPR wraz z szacunkowymi ramami finansowymi;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8)ujednolicenie </w:t>
      </w:r>
      <w:r>
        <w:rPr>
          <w:rFonts w:eastAsia="Times New Roman" w:cs="Times New Roman"/>
          <w:szCs w:val="20"/>
        </w:rPr>
        <w:t>zapisów w Rozdziale 4.5. System monitorowania zgodnie z treścią uchwały Rady Miejskiej w Bytomiu nr XLV/618/21;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9)dodanie lokalizacji projektów z listy przedsięwzięć podstawowych począwszy od nr 128 w załączniku nr 1 - „Podstawowe kierunki zmian funkcjonal</w:t>
      </w:r>
      <w:r>
        <w:rPr>
          <w:rFonts w:eastAsia="Times New Roman" w:cs="Times New Roman"/>
          <w:szCs w:val="20"/>
        </w:rPr>
        <w:t>no-przestrzennych obszaru rewitalizacji” (MAPA);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10)dodanie projektów w załączniku nr 2 - „Lista przedsięwzięć podstawowych do Gminnego Programu Rewitalizacji. Bytom 2020+” począwszy od nr 128;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11)uzupełnienie zapisów załącznika nr 3 – „Matryca logiczna” p</w:t>
      </w:r>
      <w:r>
        <w:rPr>
          <w:rFonts w:eastAsia="Times New Roman" w:cs="Times New Roman"/>
          <w:szCs w:val="20"/>
        </w:rPr>
        <w:t>oprzez dodanie projektów z listy przedsięwzięć podstawowych począwszy od nr 128 oraz dodanie legendy;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12)usunięcie załącznika nr 4 - „Lista przedsięwzięć uzupełniających”.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marcu 2025 r. projekt aktualizacji „Gminnego Program Rewitalizacji. Bytom 2020+” u</w:t>
      </w:r>
      <w:r>
        <w:rPr>
          <w:rFonts w:eastAsia="Times New Roman" w:cs="Times New Roman"/>
          <w:szCs w:val="20"/>
        </w:rPr>
        <w:t>zyskał pozytywną ocenę merytoryczną Zespołu ds. rewitalizacji Urzędu Marszałkowskiego Województwa Śląskiego. Konsultacje społeczne projektu dokumentu, prowadzone na podstawie art. 6 ustawy o rewitalizacji, odbyły się w terminie od 12 marca do 18 kwietnia 2</w:t>
      </w:r>
      <w:r>
        <w:rPr>
          <w:rFonts w:eastAsia="Times New Roman" w:cs="Times New Roman"/>
          <w:szCs w:val="20"/>
        </w:rPr>
        <w:t>025 roku. Uwagi opisane zostały szczegółowo w Sprawozdaniu z konsultacji społecznych projektu aktualizacji „Gminnego Programu Rewitalizacji. Bytom 2020+”.</w:t>
      </w:r>
    </w:p>
    <w:p w:rsidR="008F6C71" w:rsidRDefault="00741A96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marcu 2025 r., zgodnie z art. 17 ust. 4 ustawy o rewitalizacji, projekt dokumentu przekazano właści</w:t>
      </w:r>
      <w:r>
        <w:rPr>
          <w:rFonts w:eastAsia="Times New Roman" w:cs="Times New Roman"/>
          <w:szCs w:val="20"/>
        </w:rPr>
        <w:t xml:space="preserve">wym instytucjom do zaopiniowania. W lipcu 2025 r., po uzgodnieniu z właściwymi organami tj. Regionalnym Dyrektorem Ochrony Środowiska w Katowicach oraz Państwowym Wojewódzkim Inspektorem Sanitarnym w Katowicach, odstąpiono od przeprowadzenia strategicznej </w:t>
      </w:r>
      <w:r>
        <w:rPr>
          <w:rFonts w:eastAsia="Times New Roman" w:cs="Times New Roman"/>
          <w:szCs w:val="20"/>
        </w:rPr>
        <w:t>oceny oddziaływania na środowisko projektu dokumentu.</w:t>
      </w:r>
    </w:p>
    <w:sectPr w:rsidR="008F6C71" w:rsidSect="008F6C71">
      <w:footerReference w:type="default" r:id="rId9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71" w:rsidRDefault="008F6C71" w:rsidP="008F6C71">
      <w:r>
        <w:separator/>
      </w:r>
    </w:p>
  </w:endnote>
  <w:endnote w:type="continuationSeparator" w:id="0">
    <w:p w:rsidR="008F6C71" w:rsidRDefault="008F6C71" w:rsidP="008F6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8F6C7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6B495BDC-002D-4D2A-A6C2-44DFEB3BC416.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F6C7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8F6C71">
            <w:rPr>
              <w:sz w:val="18"/>
            </w:rPr>
            <w:fldChar w:fldCharType="end"/>
          </w:r>
        </w:p>
      </w:tc>
    </w:tr>
  </w:tbl>
  <w:p w:rsidR="008F6C71" w:rsidRDefault="008F6C71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8F6C7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rPr>
              <w:sz w:val="18"/>
            </w:rPr>
          </w:pPr>
          <w:r>
            <w:rPr>
              <w:sz w:val="18"/>
            </w:rPr>
            <w:t>Id: 6B495BDC-002D-4D2A-A6C2-44DFEB3BC416.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F6C7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8F6C71">
            <w:rPr>
              <w:sz w:val="18"/>
            </w:rPr>
            <w:fldChar w:fldCharType="end"/>
          </w:r>
        </w:p>
      </w:tc>
    </w:tr>
  </w:tbl>
  <w:p w:rsidR="008F6C71" w:rsidRDefault="008F6C71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8F6C7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rPr>
              <w:sz w:val="18"/>
            </w:rPr>
          </w:pPr>
          <w:r>
            <w:rPr>
              <w:sz w:val="18"/>
            </w:rPr>
            <w:t>Id: 6B495BDC-002D-4D2A-A6C2-44DFEB3BC416.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8F6C71" w:rsidRDefault="00741A96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F6C7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 w:rsidR="008F6C71">
            <w:rPr>
              <w:sz w:val="18"/>
            </w:rPr>
            <w:fldChar w:fldCharType="end"/>
          </w:r>
        </w:p>
      </w:tc>
    </w:tr>
  </w:tbl>
  <w:p w:rsidR="008F6C71" w:rsidRDefault="008F6C7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71" w:rsidRDefault="008F6C71" w:rsidP="008F6C71">
      <w:r>
        <w:separator/>
      </w:r>
    </w:p>
  </w:footnote>
  <w:footnote w:type="continuationSeparator" w:id="0">
    <w:p w:rsidR="008F6C71" w:rsidRDefault="008F6C71" w:rsidP="008F6C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741A96"/>
    <w:rsid w:val="008F6C71"/>
    <w:rsid w:val="00A77B3E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F6C7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Zalacznik1.pdf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4787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XIX/171/25 z dnia 28 lipca 2025 r.</dc:title>
  <dc:subject>zmieniająca uchwałę nr XXXVIII/487/17 Rady Miejskiej w^Bytomiu w^sprawie przyjęcia „Gminnego Programu Rewitalizacji. Bytom 2020+”</dc:subject>
  <dc:creator>asteuer</dc:creator>
  <cp:lastModifiedBy>asteuer</cp:lastModifiedBy>
  <cp:revision>2</cp:revision>
  <dcterms:created xsi:type="dcterms:W3CDTF">2025-07-31T09:27:00Z</dcterms:created>
  <dcterms:modified xsi:type="dcterms:W3CDTF">2025-07-31T08:15:00Z</dcterms:modified>
  <cp:category>Akt prawny</cp:category>
</cp:coreProperties>
</file>