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2.4.0 -->
  <w:body>
    <w:p w:rsidR="00A77B3E">
      <w:pPr>
        <w:spacing w:line="276" w:lineRule="auto"/>
        <w:ind w:left="0"/>
        <w:jc w:val="center"/>
        <w:rPr>
          <w:rFonts w:ascii="Arial" w:eastAsia="Arial" w:hAnsi="Arial" w:cs="Arial"/>
          <w:b/>
          <w:caps/>
          <w:sz w:val="24"/>
        </w:rPr>
      </w:pPr>
      <w:r>
        <w:rPr>
          <w:rFonts w:ascii="Arial" w:eastAsia="Arial" w:hAnsi="Arial" w:cs="Arial"/>
          <w:b/>
          <w:caps/>
          <w:sz w:val="24"/>
        </w:rPr>
        <w:t>Uchwała</w:t>
      </w:r>
      <w:r>
        <w:rPr>
          <w:rFonts w:ascii="Arial" w:eastAsia="Arial" w:hAnsi="Arial" w:cs="Arial"/>
          <w:b/>
          <w:caps/>
          <w:sz w:val="24"/>
        </w:rPr>
        <w:t xml:space="preserve"> Nr XIX/167/25</w:t>
      </w:r>
      <w:r>
        <w:rPr>
          <w:rFonts w:ascii="Arial" w:eastAsia="Arial" w:hAnsi="Arial" w:cs="Arial"/>
          <w:b/>
          <w:caps/>
          <w:sz w:val="24"/>
        </w:rPr>
        <w:br/>
      </w:r>
      <w:r>
        <w:rPr>
          <w:rFonts w:ascii="Arial" w:eastAsia="Arial" w:hAnsi="Arial" w:cs="Arial"/>
          <w:b/>
          <w:caps/>
          <w:sz w:val="24"/>
        </w:rPr>
        <w:t>Rady Miejskiej w Bytomiu</w:t>
      </w:r>
    </w:p>
    <w:p w:rsidR="00A77B3E">
      <w:pPr>
        <w:spacing w:before="280" w:after="280" w:line="276" w:lineRule="auto"/>
        <w:ind w:left="0"/>
        <w:jc w:val="center"/>
        <w:rPr>
          <w:rFonts w:ascii="Arial" w:eastAsia="Arial" w:hAnsi="Arial" w:cs="Arial"/>
          <w:b/>
          <w:caps/>
          <w:sz w:val="24"/>
        </w:rPr>
      </w:pPr>
      <w:r>
        <w:rPr>
          <w:rFonts w:ascii="Arial" w:eastAsia="Arial" w:hAnsi="Arial" w:cs="Arial"/>
          <w:b w:val="0"/>
          <w:caps w:val="0"/>
          <w:sz w:val="24"/>
        </w:rPr>
        <w:t>z dnia 28 lipca 2025 r.</w:t>
      </w:r>
    </w:p>
    <w:p w:rsidR="00A77B3E">
      <w:pPr>
        <w:keepNext/>
        <w:spacing w:before="0" w:after="480" w:line="276" w:lineRule="auto"/>
        <w:ind w:left="0" w:right="0" w:firstLine="0"/>
        <w:jc w:val="center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caps w:val="0"/>
          <w:sz w:val="24"/>
        </w:rPr>
        <w:t>w sprawie oceny sytuacji ekonomiczno-finansowej Szpitala Specjalistycznego Nr 1 w Bytomiu</w:t>
      </w:r>
    </w:p>
    <w:p w:rsidR="00A77B3E">
      <w:pPr>
        <w:keepNext w:val="0"/>
        <w:keepLines/>
        <w:spacing w:before="120" w:after="120" w:line="276" w:lineRule="auto"/>
        <w:ind w:left="0" w:right="0" w:firstLine="227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Na podstawie 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12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pkt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11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ustawy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dnia 5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czerwca 1998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samorządzie powiatowym (Dz.U.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2024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107,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późn. zm.) oraz 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53a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ustawy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dnia 15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kwietnia 2011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działalności leczniczej (Dz.U.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2025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450,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późn. zm.) uchwala się, co następuje: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b/>
          <w:sz w:val="24"/>
        </w:rPr>
        <w:t>§ 1.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Dokonuje się pozytywnej oceny sytuacji ekonomiczno-finansowej Szpitala Specjalistycznego Nr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1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Bytomiu przy ulicy Żeromskiego nr 7, na podstawie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raportu o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sytuacji ekonomiczno</w:t>
      </w:r>
      <w:r>
        <w:rPr>
          <w:rFonts w:ascii="Arial" w:eastAsia="Arial" w:hAnsi="Arial" w:cs="Arial"/>
          <w:b/>
          <w:i w:val="0"/>
          <w:caps w:val="0"/>
          <w:strike w:val="0"/>
          <w:color w:val="000000"/>
          <w:sz w:val="24"/>
          <w:u w:val="none" w:color="000000"/>
          <w:vertAlign w:val="baseline"/>
        </w:rPr>
        <w:t>-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finansowej Samodzielnego Publicznego Zakładu Opieki Zdrowotnej za rok 2024, stanowiącego załącznik będący integralną częścią niniejszej uchwały.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b/>
          <w:sz w:val="24"/>
        </w:rPr>
        <w:t>§ 2.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Wykonanie uchwały powierza się Prezydentowi Miasta.</w:t>
      </w:r>
    </w:p>
    <w:p w:rsidR="00A77B3E">
      <w:pPr>
        <w:keepNext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b/>
          <w:sz w:val="24"/>
        </w:rPr>
        <w:t>§ 3.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Uchwała wchodzi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życie z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dniem podjęcia.</w:t>
      </w:r>
    </w:p>
    <w:p w:rsidR="00A77B3E">
      <w:pPr>
        <w:keepNext/>
        <w:keepLines/>
        <w:spacing w:before="120" w:after="120" w:line="276" w:lineRule="auto"/>
        <w:ind w:left="0" w:right="0" w:firstLine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</w:p>
    <w:p w:rsidR="00A77B3E">
      <w:pPr>
        <w:keepNext/>
        <w:spacing w:before="0" w:after="0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b w:val="0"/>
          <w:i w:val="0"/>
          <w:color w:val="000000"/>
          <w:u w:val="none"/>
          <w:vertAlign w:val="baseline"/>
        </w:rPr>
        <w:t> </w:t>
      </w:r>
    </w:p>
    <w:tbl>
      <w:tblPr>
        <w:tblW w:w="5000" w:type="pct"/>
        <w:tblCellMar>
          <w:top w:w="0" w:type="dxa"/>
          <w:left w:w="0" w:type="dxa"/>
          <w:bottom w:w="0" w:type="dxa"/>
          <w:right w:w="0" w:type="dxa"/>
        </w:tblCellMar>
      </w:tblPr>
      <w:tblGrid>
        <w:gridCol w:w="4933"/>
        <w:gridCol w:w="4933"/>
      </w:tblGrid>
      <w:tr>
        <w:tblPrEx>
          <w:tblW w:w="5000" w:type="pct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jc w:val="left"/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</w:p>
        </w:tc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spacing w:before="100" w:after="40"/>
              <w:ind w:left="1134" w:right="1134" w:firstLine="0"/>
              <w:jc w:val="center"/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t>Przewodniczący Rady Miejskiej</w:t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b/>
                <w:i w:val="0"/>
              </w:rPr>
              <w:t>Michał Staniszewski</w:t>
            </w:r>
          </w:p>
        </w:tc>
      </w:tr>
    </w:tbl>
    <w:p w:rsidR="00A77B3E">
      <w:pPr>
        <w:keepNext/>
        <w:spacing w:before="0" w:after="0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sectPr>
          <w:footerReference w:type="default" r:id="rId4"/>
          <w:endnotePr>
            <w:numFmt w:val="decimal"/>
          </w:endnotePr>
          <w:pgSz w:w="11906" w:h="16838"/>
          <w:pgMar w:top="1417" w:right="1020" w:bottom="992" w:left="1020" w:header="708" w:footer="708" w:gutter="0"/>
          <w:cols w:space="708"/>
          <w:docGrid w:linePitch="360"/>
        </w:sectPr>
      </w:pPr>
    </w:p>
    <w:p w:rsidR="00A77B3E">
      <w:pPr>
        <w:keepNext/>
        <w:spacing w:before="280" w:after="280" w:line="276" w:lineRule="auto"/>
        <w:ind w:left="4535" w:right="0" w:firstLine="0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sectPr>
          <w:footerReference w:type="default" r:id="rId5"/>
          <w:endnotePr>
            <w:numFmt w:val="decimal"/>
          </w:endnotePr>
          <w:type w:val="nextPage"/>
          <w:pgSz w:w="11906" w:h="16838"/>
          <w:pgMar w:top="1417" w:right="1020" w:bottom="992" w:left="1020" w:header="708" w:footer="708" w:gutter="0"/>
          <w:cols w:space="708"/>
          <w:docGrid w:linePitch="360"/>
        </w:sectPr>
      </w:pPr>
      <w:r>
        <w:t>Załącznik do uchwały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 xml:space="preserve"> Nr XIX/167/25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br/>
      </w:r>
      <w:r>
        <w:t>Rady Miejskiej w Bytomiu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br/>
      </w:r>
      <w:r>
        <w:rPr>
          <w:rFonts w:ascii="Arial" w:eastAsia="Arial" w:hAnsi="Arial" w:cs="Arial"/>
          <w:sz w:val="24"/>
        </w:rPr>
        <w:t>z dnia 28 lipca 2025 r.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br/>
      </w:r>
      <w:hyperlink r:id="rId6" w:history="1">
        <w:r>
          <w:rPr>
            <w:rStyle w:val="Hyperlink"/>
            <w:rFonts w:ascii="Arial" w:eastAsia="Arial" w:hAnsi="Arial" w:cs="Arial"/>
            <w:b w:val="0"/>
            <w:i w:val="0"/>
            <w:caps w:val="0"/>
            <w:strike w:val="0"/>
            <w:color w:val="000000"/>
            <w:sz w:val="24"/>
            <w:u w:val="none" w:color="000000"/>
            <w:vertAlign w:val="baseline"/>
          </w:rPr>
          <w:t>Zalacznik1.pdf</w:t>
        </w:r>
      </w:hyperlink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rPr>
          <w:rFonts w:eastAsia="Times New Roman" w:cs="Times New Roman"/>
          <w:szCs w:val="20"/>
        </w:r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jc w:val="center"/>
        <w:rPr>
          <w:rFonts w:eastAsia="Times New Roman" w:cs="Times New Roman"/>
          <w:szCs w:val="20"/>
        </w:rPr>
      </w:pPr>
      <w:r>
        <w:rPr>
          <w:rFonts w:eastAsia="Times New Roman" w:cs="Times New Roman"/>
          <w:caps/>
          <w:szCs w:val="20"/>
        </w:rPr>
        <w:t>Uzasadnienie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Zgodnie z art. 53a ust. 1 ustawy z dnia 15 kwietnia 2011 r. o działalności leczniczej, każdego roku kierownik samodzielnego publicznego zakładu opieki zdrowotnej sporządza i udostępnia w Biuletynie Informacji Publicznej raport o sytuacji ekonomiczno-finansowej samodzielnego publicznego zakładu opieki zdrowotnej w terminie dwóch miesięcy od dnia upływu terminu do sporządzenia rocznego sprawozdania finansowego. Raport jest przygotowywany na podstawie sprawozdania finansowego za poprzedni rok obrotowy i powinien zawierać w szczególności: analizę sytuacji ekonomiczno-finansowej, prognozę sytuacji ekonomiczno-finansowej na kolejne trzy lata obrotowe wraz z opisem przyjętych założeń oraz informację o istotnych zdarzeniach mających wpływ na sytuację ekonomiczno-finansową samodzielnego publicznego zakładu opieki zdrowotnej. Na podstawie art. 53a ust. 4 ustawy o działalności leczniczej, sporządzony przez kierownika samodzielnego publicznego zakładu opieki zdrowotnej raport, stanowi podstawę do dokonania oceny sytuacji ekonomiczno-finansowej zakładu przez podmiot tworzący. Raport o sytuacji ekonomiczno-finansowej Szpitala Specjalistycznego Nr 1 w Bytomiu, stanowiący załącznik do niniejszej uchwały, został przekazany do oceny podmiotowi tworzącemu, czyli Radzie Miejskiej w Bytomiu, w dniu 9 czerwca 2025 roku. Przedmiotowy raport zawiera analizę sytuacji ekonomiczno-finansowej Szpitala za 2024 rok, dokonaną na podstawie wskaźników ekonomiczno-finansowych, określonych w rozporządzeniu Ministra Zdrowia z dnia 12 kwietnia 2017 roku w sprawie wskaźników ekonomiczno-finansowych niezbędnych do sporządzenia analizy oraz prognozy sytuacji ekonomiczno-finansowej samodzielnych publicznych zakładów opieki zdrowotnej (Dz. U. z 2017 r. poz. 832) oraz prognozę sytuacji ekonomiczno-finansowej jednostki na lata 2025 - 2027, opis przyjętych założeń oraz informację o istotnych zdarzeniach mających wpływ na sytuację ekonomiczno-finansową Szpitala. Komisja Zdrowia, Ochrony Środowiska i Spraw Społecznych Rady Miejskiej w Bytomiu w dniu 16 czerwca 2025 roku zapoznała się z treścią przedmiotowego raportu i wysłuchała wyjaśnień udzielonych przez przedstawicieli Dyrekcji Szpitala. Komisja na posiedzeniu w dniu 16 czerwca 2025  roku w głosowaniu oceniła pozytywnie sytuację Szpitala Specjalistycznego Nr 1</w:t>
      </w:r>
      <w:r>
        <w:rPr>
          <w:rFonts w:eastAsia="Times New Roman" w:cs="Times New Roman"/>
          <w:szCs w:val="20"/>
        </w:rPr>
        <w:t xml:space="preserve"> </w:t>
      </w:r>
      <w:r>
        <w:rPr>
          <w:rFonts w:eastAsia="Times New Roman" w:cs="Times New Roman"/>
          <w:szCs w:val="20"/>
        </w:rPr>
        <w:t>w Bytomiu. W związku z powyższym Komisja wnosi do Rady Miejskiej w Bytomiu o podjęcie niniejszej uchwały.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  </w:t>
      </w:r>
    </w:p>
    <w:sectPr>
      <w:footerReference w:type="default" r:id="rId7"/>
      <w:endnotePr>
        <w:numFmt w:val="decimal"/>
      </w:endnotePr>
      <w:type w:val="nextPage"/>
      <w:pgSz w:w="11906" w:h="16838" w:code="0"/>
      <w:pgMar w:top="1417" w:right="1020" w:bottom="992" w:left="102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>Id: 5D1F530B-2DEE-4823-9CF3-F1EDA2E723A2.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 xml:space="preserve">Strona </w:t>
          </w:r>
          <w:r>
            <w:rPr>
              <w:rFonts w:ascii="Arial" w:eastAsia="Arial" w:hAnsi="Arial" w:cs="Arial"/>
              <w:b w:val="0"/>
              <w:sz w:val="18"/>
            </w:rPr>
            <w:fldChar w:fldCharType="begin"/>
          </w:r>
          <w:r>
            <w:rPr>
              <w:rFonts w:ascii="Arial" w:eastAsia="Arial" w:hAnsi="Arial" w:cs="Arial"/>
              <w:b w:val="0"/>
              <w:sz w:val="18"/>
            </w:rPr>
            <w:instrText>PAGE</w:instrText>
          </w:r>
          <w:r>
            <w:rPr>
              <w:rFonts w:ascii="Arial" w:eastAsia="Arial" w:hAnsi="Arial" w:cs="Arial"/>
              <w:b w:val="0"/>
              <w:sz w:val="18"/>
            </w:rPr>
            <w:fldChar w:fldCharType="separate"/>
          </w:r>
          <w:r>
            <w:rPr>
              <w:rFonts w:ascii="Arial" w:eastAsia="Arial" w:hAnsi="Arial" w:cs="Arial"/>
              <w:b w:val="0"/>
              <w:sz w:val="18"/>
            </w:rPr>
            <w:fldChar w:fldCharType="end"/>
          </w:r>
        </w:p>
      </w:tc>
    </w:tr>
  </w:tbl>
  <w:p>
    <w:pPr>
      <w:rPr>
        <w:rFonts w:ascii="Arial" w:eastAsia="Arial" w:hAnsi="Arial" w:cs="Arial"/>
        <w:b w:val="0"/>
        <w:sz w:val="18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>Id: 5D1F530B-2DEE-4823-9CF3-F1EDA2E723A2.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 xml:space="preserve">Strona </w:t>
          </w:r>
          <w:r>
            <w:rPr>
              <w:rFonts w:ascii="Arial" w:eastAsia="Arial" w:hAnsi="Arial" w:cs="Arial"/>
              <w:b w:val="0"/>
              <w:sz w:val="18"/>
            </w:rPr>
            <w:fldChar w:fldCharType="begin"/>
          </w:r>
          <w:r>
            <w:rPr>
              <w:rFonts w:ascii="Arial" w:eastAsia="Arial" w:hAnsi="Arial" w:cs="Arial"/>
              <w:b w:val="0"/>
              <w:sz w:val="18"/>
            </w:rPr>
            <w:instrText>PAGE</w:instrText>
          </w:r>
          <w:r>
            <w:rPr>
              <w:rFonts w:ascii="Arial" w:eastAsia="Arial" w:hAnsi="Arial" w:cs="Arial"/>
              <w:b w:val="0"/>
              <w:sz w:val="18"/>
            </w:rPr>
            <w:fldChar w:fldCharType="separate"/>
          </w:r>
          <w:r>
            <w:rPr>
              <w:rFonts w:ascii="Arial" w:eastAsia="Arial" w:hAnsi="Arial" w:cs="Arial"/>
              <w:b w:val="0"/>
              <w:sz w:val="18"/>
            </w:rPr>
            <w:fldChar w:fldCharType="end"/>
          </w:r>
        </w:p>
      </w:tc>
    </w:tr>
  </w:tbl>
  <w:p>
    <w:pPr>
      <w:rPr>
        <w:rFonts w:ascii="Arial" w:eastAsia="Arial" w:hAnsi="Arial" w:cs="Arial"/>
        <w:b w:val="0"/>
        <w:sz w:val="18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>Id: 5D1F530B-2DEE-4823-9CF3-F1EDA2E723A2.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 xml:space="preserve">Strona </w:t>
          </w:r>
          <w:r>
            <w:rPr>
              <w:rFonts w:ascii="Arial" w:eastAsia="Arial" w:hAnsi="Arial" w:cs="Arial"/>
              <w:b w:val="0"/>
              <w:sz w:val="18"/>
            </w:rPr>
            <w:fldChar w:fldCharType="begin"/>
          </w:r>
          <w:r>
            <w:rPr>
              <w:rFonts w:ascii="Arial" w:eastAsia="Arial" w:hAnsi="Arial" w:cs="Arial"/>
              <w:b w:val="0"/>
              <w:sz w:val="18"/>
            </w:rPr>
            <w:instrText>PAGE</w:instrText>
          </w:r>
          <w:r>
            <w:rPr>
              <w:rFonts w:ascii="Arial" w:eastAsia="Arial" w:hAnsi="Arial" w:cs="Arial"/>
              <w:b w:val="0"/>
              <w:sz w:val="18"/>
            </w:rPr>
            <w:fldChar w:fldCharType="separate"/>
          </w:r>
          <w:r>
            <w:rPr>
              <w:rFonts w:ascii="Arial" w:eastAsia="Arial" w:hAnsi="Arial" w:cs="Arial"/>
              <w:b w:val="0"/>
              <w:sz w:val="18"/>
            </w:rPr>
            <w:fldChar w:fldCharType="end"/>
          </w:r>
        </w:p>
      </w:tc>
    </w:tr>
  </w:tbl>
  <w:p>
    <w:pPr>
      <w:rPr>
        <w:rFonts w:ascii="Arial" w:eastAsia="Arial" w:hAnsi="Arial" w:cs="Arial"/>
        <w:b w:val="0"/>
        <w:sz w:val="18"/>
      </w:rPr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endnotePr>
    <w:numFmt w:val="decimal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jc w:val="left"/>
    </w:pPr>
    <w:rPr>
      <w:rFonts w:ascii="Arial" w:eastAsia="Arial" w:hAnsi="Arial" w:cs="Arial"/>
      <w:sz w:val="24"/>
      <w:szCs w:val="24"/>
      <w:lang w:val="pl-PL" w:eastAsia="pl-PL" w:bidi="pl-PL"/>
    </w:rPr>
  </w:style>
  <w:style w:type="character" w:default="1" w:styleId="DefaultParagraphFont">
    <w:name w:val="Default Paragraph Font"/>
    <w:semiHidden/>
    <w:rPr>
      <w:lang w:val="pl-PL" w:eastAsia="pl-PL" w:bidi="pl-PL"/>
    </w:rPr>
  </w:style>
  <w:style w:type="table" w:default="1" w:styleId="TableNormal">
    <w:name w:val="Normal Table"/>
    <w:semiHidden/>
    <w:rPr>
      <w:lang w:val="pl-PL" w:eastAsia="pl-PL" w:bidi="pl-P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Hyperlink">
    <w:name w:val="Hyperlink"/>
    <w:basedOn w:val="DefaultParagraphFont"/>
    <w:rsid w:val="00EF7B9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hyperlink" Target="Zalacznik1.pdf" TargetMode="External" /><Relationship Id="rId7" Type="http://schemas.openxmlformats.org/officeDocument/2006/relationships/footer" Target="footer3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Rada Miejska w Bytomiu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XIX/167/25 z dnia 28 lipca 2025 r.</dc:title>
  <dc:subject>w sprawie oceny sytuacji ekonomiczno-finansowej Szpitala Specjalistycznego Nr^1^w^Bytomiu</dc:subject>
  <dc:creator>asteuer</dc:creator>
  <cp:lastModifiedBy>asteuer</cp:lastModifiedBy>
  <cp:revision>1</cp:revision>
  <dcterms:created xsi:type="dcterms:W3CDTF">2025-07-31T09:23:05Z</dcterms:created>
  <dcterms:modified xsi:type="dcterms:W3CDTF">2025-07-31T09:23:05Z</dcterms:modified>
  <cp:category>Akt prawny</cp:category>
</cp:coreProperties>
</file>