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7E" w:rsidRPr="00CB1E9A" w:rsidRDefault="0082617E" w:rsidP="0082617E">
      <w:pPr>
        <w:jc w:val="center"/>
        <w:rPr>
          <w:rFonts w:ascii="Arial" w:hAnsi="Arial" w:cs="Arial"/>
          <w:b/>
          <w:bCs/>
        </w:rPr>
      </w:pPr>
      <w:r w:rsidRPr="00CB1E9A">
        <w:rPr>
          <w:rFonts w:ascii="Arial" w:hAnsi="Arial" w:cs="Arial"/>
          <w:b/>
          <w:bCs/>
        </w:rPr>
        <w:t>ZARZĄDZENIE NR</w:t>
      </w:r>
    </w:p>
    <w:p w:rsidR="0082617E" w:rsidRPr="00CB1E9A" w:rsidRDefault="0082617E" w:rsidP="0082617E">
      <w:pPr>
        <w:jc w:val="center"/>
        <w:rPr>
          <w:rFonts w:ascii="Arial" w:hAnsi="Arial" w:cs="Arial"/>
          <w:b/>
          <w:bCs/>
        </w:rPr>
      </w:pPr>
      <w:r w:rsidRPr="00CB1E9A">
        <w:rPr>
          <w:rFonts w:ascii="Arial" w:hAnsi="Arial" w:cs="Arial"/>
          <w:b/>
          <w:bCs/>
        </w:rPr>
        <w:t>PREZYDENTA BYTOMIA</w:t>
      </w:r>
    </w:p>
    <w:p w:rsidR="0082617E" w:rsidRPr="00CB1E9A" w:rsidRDefault="0082617E" w:rsidP="0082617E">
      <w:pPr>
        <w:spacing w:after="280"/>
        <w:jc w:val="center"/>
        <w:rPr>
          <w:rFonts w:ascii="Arial" w:hAnsi="Arial" w:cs="Arial"/>
        </w:rPr>
      </w:pPr>
      <w:r w:rsidRPr="00CB1E9A">
        <w:rPr>
          <w:rFonts w:ascii="Arial" w:hAnsi="Arial" w:cs="Arial"/>
        </w:rPr>
        <w:t>z dnia</w:t>
      </w:r>
    </w:p>
    <w:p w:rsidR="0082617E" w:rsidRPr="00CB1E9A" w:rsidRDefault="0082617E" w:rsidP="0082617E">
      <w:pPr>
        <w:pStyle w:val="Tekstpodstawowy3"/>
        <w:spacing w:after="280"/>
        <w:jc w:val="center"/>
        <w:rPr>
          <w:rFonts w:ascii="Arial" w:hAnsi="Arial" w:cs="Arial"/>
        </w:rPr>
      </w:pPr>
      <w:r w:rsidRPr="00CB1E9A">
        <w:rPr>
          <w:rFonts w:ascii="Arial" w:hAnsi="Arial" w:cs="Arial"/>
        </w:rPr>
        <w:t>zmieniające zarządzenie nr 530/17 Prezydenta Bytomia w sprawie ustanowienia regulaminu Bytomskiej Strefy Aktywności Gospodarczej</w:t>
      </w:r>
    </w:p>
    <w:p w:rsidR="0082617E" w:rsidRPr="00CB1E9A" w:rsidRDefault="0082617E" w:rsidP="0082617E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 xml:space="preserve">Na podstawie art.30 ust. 2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3 ustawy z dnia 8 marca 1990 r. o samorządzie gminnym (Dz. U. z 2020 r. poz. 713, z </w:t>
      </w:r>
      <w:proofErr w:type="spellStart"/>
      <w:r w:rsidRPr="00CB1E9A">
        <w:rPr>
          <w:rFonts w:ascii="Arial" w:hAnsi="Arial" w:cs="Arial"/>
        </w:rPr>
        <w:t>późn</w:t>
      </w:r>
      <w:proofErr w:type="spellEnd"/>
      <w:r w:rsidRPr="00CB1E9A">
        <w:rPr>
          <w:rFonts w:ascii="Arial" w:hAnsi="Arial" w:cs="Arial"/>
        </w:rPr>
        <w:t>. zm.) oraz uchwały nr XXXVIII/535/21  Rady Miejskiej w Bytomiu z dnia 25 stycznia 2021 r. zmieniającej uchwałę nr XV/201/13 Rady Miejskiej w Bytomiu w sprawie utworzenia Bytomskiej Strefy</w:t>
      </w:r>
      <w:r w:rsidR="00051465" w:rsidRPr="00CB1E9A">
        <w:rPr>
          <w:rFonts w:ascii="Arial" w:hAnsi="Arial" w:cs="Arial"/>
        </w:rPr>
        <w:t xml:space="preserve">  Aktywności Gospodarczej</w:t>
      </w:r>
      <w:r w:rsidRPr="00CB1E9A">
        <w:rPr>
          <w:rFonts w:ascii="Arial" w:hAnsi="Arial" w:cs="Arial"/>
        </w:rPr>
        <w:t xml:space="preserve"> zarządza się, co następuje:</w:t>
      </w:r>
    </w:p>
    <w:p w:rsidR="0082617E" w:rsidRPr="00CB1E9A" w:rsidRDefault="0082617E" w:rsidP="0082617E">
      <w:pPr>
        <w:spacing w:after="280"/>
        <w:jc w:val="center"/>
        <w:rPr>
          <w:rFonts w:ascii="Arial" w:hAnsi="Arial" w:cs="Arial"/>
          <w:b/>
        </w:rPr>
      </w:pPr>
      <w:r w:rsidRPr="00CB1E9A">
        <w:rPr>
          <w:rFonts w:ascii="Arial" w:hAnsi="Arial" w:cs="Arial"/>
          <w:b/>
        </w:rPr>
        <w:t>§ 1</w:t>
      </w:r>
    </w:p>
    <w:p w:rsidR="006D0B6D" w:rsidRPr="00CB1E9A" w:rsidRDefault="0082617E" w:rsidP="00FC7963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>W zarządzeniu nr 530/17 Prezydenta Bytomia z dnia 30 listopada 2017 r. w sprawie ustanowienia regulaminu Bytomskiej Strefy Aktywności Gospodarczej (BSAG) z</w:t>
      </w:r>
      <w:r w:rsidR="006D0B6D" w:rsidRPr="00CB1E9A">
        <w:rPr>
          <w:rFonts w:ascii="Arial" w:hAnsi="Arial" w:cs="Arial"/>
        </w:rPr>
        <w:t> </w:t>
      </w:r>
      <w:proofErr w:type="spellStart"/>
      <w:r w:rsidRPr="00CB1E9A">
        <w:rPr>
          <w:rFonts w:ascii="Arial" w:hAnsi="Arial" w:cs="Arial"/>
        </w:rPr>
        <w:t>późn</w:t>
      </w:r>
      <w:proofErr w:type="spellEnd"/>
      <w:r w:rsidRPr="00CB1E9A">
        <w:rPr>
          <w:rFonts w:ascii="Arial" w:hAnsi="Arial" w:cs="Arial"/>
        </w:rPr>
        <w:t>. zm., w załączniku do zarządzenia wprowadza się następujące zmiany:</w:t>
      </w:r>
    </w:p>
    <w:p w:rsidR="006D0B6D" w:rsidRPr="00CB1E9A" w:rsidRDefault="0082617E" w:rsidP="006D0B6D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>1) ust. 1 otrzymuje brzmienie:</w:t>
      </w:r>
      <w:r w:rsidRPr="00CB1E9A">
        <w:rPr>
          <w:rFonts w:ascii="Arial" w:hAnsi="Arial" w:cs="Arial"/>
        </w:rPr>
        <w:br/>
        <w:t>„1. Bytomska Strefa Aktywności Gospodarczej (dalej BSAG) jest położona w</w:t>
      </w:r>
      <w:r w:rsidR="006D0B6D" w:rsidRPr="00CB1E9A">
        <w:rPr>
          <w:rFonts w:ascii="Arial" w:hAnsi="Arial" w:cs="Arial"/>
        </w:rPr>
        <w:t> </w:t>
      </w:r>
      <w:r w:rsidRPr="00CB1E9A">
        <w:rPr>
          <w:rFonts w:ascii="Arial" w:hAnsi="Arial" w:cs="Arial"/>
        </w:rPr>
        <w:t>Bytomiu. Stanowi nieruchomości gruntowe będące własnością Gminy Bytom, składające się z następujących obszarów:</w:t>
      </w:r>
      <w:r w:rsidRPr="00CB1E9A">
        <w:rPr>
          <w:rFonts w:ascii="Arial" w:hAnsi="Arial" w:cs="Arial"/>
        </w:rPr>
        <w:br/>
        <w:t xml:space="preserve">1) obszar 2 o powierzchni 28.115 </w:t>
      </w:r>
      <w:proofErr w:type="spellStart"/>
      <w:r w:rsidRPr="00CB1E9A">
        <w:rPr>
          <w:rFonts w:ascii="Arial" w:hAnsi="Arial" w:cs="Arial"/>
        </w:rPr>
        <w:t>m²</w:t>
      </w:r>
      <w:proofErr w:type="spellEnd"/>
      <w:r w:rsidRPr="00CB1E9A">
        <w:rPr>
          <w:rFonts w:ascii="Arial" w:hAnsi="Arial" w:cs="Arial"/>
        </w:rPr>
        <w:t>, w skład  którego wchodzą działki gruntu 186/10, 267/10 oraz 262/11 (obręb Nowy Dwór, karta mapy 1);</w:t>
      </w:r>
      <w:r w:rsidRPr="00CB1E9A">
        <w:rPr>
          <w:rFonts w:ascii="Arial" w:hAnsi="Arial" w:cs="Arial"/>
        </w:rPr>
        <w:br/>
        <w:t xml:space="preserve">2) obszar 3 o powierzchni 23.340 </w:t>
      </w:r>
      <w:proofErr w:type="spellStart"/>
      <w:r w:rsidRPr="00CB1E9A">
        <w:rPr>
          <w:rFonts w:ascii="Arial" w:hAnsi="Arial" w:cs="Arial"/>
        </w:rPr>
        <w:t>m²</w:t>
      </w:r>
      <w:proofErr w:type="spellEnd"/>
      <w:r w:rsidRPr="00CB1E9A">
        <w:rPr>
          <w:rFonts w:ascii="Arial" w:hAnsi="Arial" w:cs="Arial"/>
        </w:rPr>
        <w:t>, na który składają się działki gruntu 7871/605, 8287/605, 8288/605, 8019/633 (obręb Rozbark, karta mapy 1).”;</w:t>
      </w:r>
    </w:p>
    <w:p w:rsidR="006D0B6D" w:rsidRPr="00CB1E9A" w:rsidRDefault="0082617E" w:rsidP="00FC7963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 xml:space="preserve">2) w ust. 5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1 otrzymuje brzmienie:</w:t>
      </w:r>
      <w:r w:rsidRPr="00CB1E9A">
        <w:rPr>
          <w:rFonts w:ascii="Arial" w:hAnsi="Arial" w:cs="Arial"/>
        </w:rPr>
        <w:br/>
        <w:t xml:space="preserve">„1) zobowiązują podmiot, z którym zawierana jest umowa dzierżawy, do utworzenia dla obszaru 2 oraz obszaru 3 (ust. 1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1,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2) w ciągu trzech lat od dnia podpisania umowy dzierżawy, nowych miejsc pracy, które zostaną utrzymane przez okres co najmniej 12 miesięcy, w ilości co najmniej 5 miejsc na pierwsze pełne 1000 </w:t>
      </w:r>
      <w:proofErr w:type="spellStart"/>
      <w:r w:rsidRPr="00CB1E9A">
        <w:rPr>
          <w:rFonts w:ascii="Arial" w:hAnsi="Arial" w:cs="Arial"/>
        </w:rPr>
        <w:t>m²</w:t>
      </w:r>
      <w:proofErr w:type="spellEnd"/>
      <w:r w:rsidRPr="00CB1E9A">
        <w:rPr>
          <w:rFonts w:ascii="Arial" w:hAnsi="Arial" w:cs="Arial"/>
        </w:rPr>
        <w:t xml:space="preserve"> wydzierżawionej powierzchni, a na kolejne 1000 </w:t>
      </w:r>
      <w:proofErr w:type="spellStart"/>
      <w:r w:rsidRPr="00CB1E9A">
        <w:rPr>
          <w:rFonts w:ascii="Arial" w:hAnsi="Arial" w:cs="Arial"/>
        </w:rPr>
        <w:t>m²</w:t>
      </w:r>
      <w:proofErr w:type="spellEnd"/>
      <w:r w:rsidRPr="00CB1E9A">
        <w:rPr>
          <w:rFonts w:ascii="Arial" w:hAnsi="Arial" w:cs="Arial"/>
        </w:rPr>
        <w:t xml:space="preserve"> - 2 miejsc pracy;”;</w:t>
      </w:r>
    </w:p>
    <w:p w:rsidR="006D0B6D" w:rsidRPr="00CB1E9A" w:rsidRDefault="0082617E" w:rsidP="00FC7963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>3) w ust.</w:t>
      </w:r>
      <w:r w:rsidR="00051465" w:rsidRPr="00CB1E9A">
        <w:rPr>
          <w:rFonts w:ascii="Arial" w:hAnsi="Arial" w:cs="Arial"/>
        </w:rPr>
        <w:t xml:space="preserve"> </w:t>
      </w:r>
      <w:r w:rsidRPr="00CB1E9A">
        <w:rPr>
          <w:rFonts w:ascii="Arial" w:hAnsi="Arial" w:cs="Arial"/>
        </w:rPr>
        <w:t xml:space="preserve">5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3 otrzymuje brzmienie:</w:t>
      </w:r>
      <w:r w:rsidRPr="00CB1E9A">
        <w:rPr>
          <w:rFonts w:ascii="Arial" w:hAnsi="Arial" w:cs="Arial"/>
        </w:rPr>
        <w:br/>
        <w:t>„3) zobowiązują podmiot, z którym zawierana jest umowa dzierżawy do zabudowania dzierżawionej nieruchomości obiektami użytkowymi trwale związanymi z gruntem o</w:t>
      </w:r>
      <w:r w:rsidR="006D0B6D" w:rsidRPr="00CB1E9A">
        <w:rPr>
          <w:rFonts w:ascii="Arial" w:hAnsi="Arial" w:cs="Arial"/>
        </w:rPr>
        <w:t> </w:t>
      </w:r>
      <w:r w:rsidRPr="00CB1E9A">
        <w:rPr>
          <w:rFonts w:ascii="Arial" w:hAnsi="Arial" w:cs="Arial"/>
        </w:rPr>
        <w:t>określonej w umowie dzierżawy minimalnej powierzchni:</w:t>
      </w:r>
      <w:r w:rsidRPr="00CB1E9A">
        <w:rPr>
          <w:rFonts w:ascii="Arial" w:hAnsi="Arial" w:cs="Arial"/>
        </w:rPr>
        <w:br/>
        <w:t xml:space="preserve">a) dla obszaru 2 oraz obszaru 3 (ust. 1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1,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2) w ciągu trzech lat od dnia podpisania umowy dzierżawy,</w:t>
      </w:r>
      <w:r w:rsidRPr="00CB1E9A">
        <w:rPr>
          <w:rFonts w:ascii="Arial" w:hAnsi="Arial" w:cs="Arial"/>
        </w:rPr>
        <w:br/>
        <w:t>b) w uzasadnionych przypadkach, na wniosek podmiotu zawierającego umowę dzierżawy, Gmina Bytom może wyrazić zgodę na inną formę zabudowy;”;</w:t>
      </w:r>
    </w:p>
    <w:p w:rsidR="0082617E" w:rsidRPr="00CB1E9A" w:rsidRDefault="0082617E" w:rsidP="00FC7963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 xml:space="preserve">4) w ust. 5 </w:t>
      </w:r>
      <w:proofErr w:type="spellStart"/>
      <w:r w:rsidRPr="00CB1E9A">
        <w:rPr>
          <w:rFonts w:ascii="Arial" w:hAnsi="Arial" w:cs="Arial"/>
        </w:rPr>
        <w:t>pkt</w:t>
      </w:r>
      <w:proofErr w:type="spellEnd"/>
      <w:r w:rsidRPr="00CB1E9A">
        <w:rPr>
          <w:rFonts w:ascii="Arial" w:hAnsi="Arial" w:cs="Arial"/>
        </w:rPr>
        <w:t xml:space="preserve"> 13 otrzymuje brzmienie:</w:t>
      </w:r>
      <w:r w:rsidRPr="00CB1E9A">
        <w:rPr>
          <w:rFonts w:ascii="Arial" w:hAnsi="Arial" w:cs="Arial"/>
        </w:rPr>
        <w:br/>
        <w:t>„13) dla umów zawieranych z podmiotami nieprowadzącymi działalności na terenie Bytomia, zawierają oświadczenie tego podmiotu, że przeniesie on działalność gospodarczą na teren Bytomia w ciągu 2 miesięcy od daty otrzymania pozwolenia na użytkowanie obiektów budowlanych i nie później niż w ciągu trzech lat od podpisania umowy dzierżawy – dla obszaru 2 oraz obszaru 3.”.</w:t>
      </w:r>
    </w:p>
    <w:p w:rsidR="0082617E" w:rsidRPr="00CB1E9A" w:rsidRDefault="0082617E" w:rsidP="0082617E">
      <w:pPr>
        <w:spacing w:after="280"/>
        <w:jc w:val="center"/>
        <w:rPr>
          <w:rFonts w:ascii="Arial" w:hAnsi="Arial" w:cs="Arial"/>
          <w:b/>
        </w:rPr>
      </w:pPr>
      <w:r w:rsidRPr="00CB1E9A">
        <w:rPr>
          <w:rFonts w:ascii="Arial" w:hAnsi="Arial" w:cs="Arial"/>
          <w:b/>
        </w:rPr>
        <w:lastRenderedPageBreak/>
        <w:t>§ 2</w:t>
      </w:r>
    </w:p>
    <w:p w:rsidR="0082617E" w:rsidRPr="00CB1E9A" w:rsidRDefault="0082617E" w:rsidP="0082617E">
      <w:pPr>
        <w:spacing w:after="280"/>
        <w:rPr>
          <w:rFonts w:ascii="Arial" w:hAnsi="Arial" w:cs="Arial"/>
        </w:rPr>
      </w:pPr>
      <w:r w:rsidRPr="00CB1E9A">
        <w:rPr>
          <w:rFonts w:ascii="Arial" w:hAnsi="Arial" w:cs="Arial"/>
        </w:rPr>
        <w:t>Wykonanie zarządzenia powierza się naczelnikowi Wydziału Strategii, Funduszy Europejskich i Obsługi Inwestora.</w:t>
      </w:r>
    </w:p>
    <w:p w:rsidR="0082617E" w:rsidRPr="00CB1E9A" w:rsidRDefault="0082617E" w:rsidP="0082617E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CB1E9A">
        <w:rPr>
          <w:rFonts w:ascii="Arial" w:hAnsi="Arial" w:cs="Arial"/>
          <w:b/>
          <w:bCs/>
          <w:szCs w:val="24"/>
        </w:rPr>
        <w:t>§ 3</w:t>
      </w:r>
    </w:p>
    <w:p w:rsidR="0082617E" w:rsidRPr="00CB1E9A" w:rsidRDefault="0082617E" w:rsidP="0082617E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CB1E9A">
        <w:rPr>
          <w:rFonts w:ascii="Arial" w:hAnsi="Arial" w:cs="Arial"/>
          <w:szCs w:val="24"/>
        </w:rPr>
        <w:t>Zarządzenie wchodzi w życie z dniem podpisania.</w:t>
      </w:r>
    </w:p>
    <w:p w:rsidR="0082617E" w:rsidRPr="00CB1E9A" w:rsidRDefault="0082617E" w:rsidP="0082617E">
      <w:pPr>
        <w:rPr>
          <w:rFonts w:ascii="Arial" w:hAnsi="Arial" w:cs="Arial"/>
          <w:sz w:val="16"/>
        </w:rPr>
      </w:pPr>
      <w:r w:rsidRPr="00CB1E9A">
        <w:rPr>
          <w:rFonts w:ascii="Arial" w:hAnsi="Arial" w:cs="Arial"/>
          <w:sz w:val="16"/>
        </w:rPr>
        <w:t>Oprac.: Marta Gajkowska</w:t>
      </w:r>
    </w:p>
    <w:p w:rsidR="00426822" w:rsidRPr="00CB1E9A" w:rsidRDefault="0082617E" w:rsidP="00FC7963">
      <w:pPr>
        <w:ind w:left="567"/>
        <w:rPr>
          <w:rFonts w:ascii="Arial" w:hAnsi="Arial" w:cs="Arial"/>
          <w:sz w:val="16"/>
        </w:rPr>
      </w:pPr>
      <w:r w:rsidRPr="00CB1E9A">
        <w:rPr>
          <w:rFonts w:ascii="Arial" w:hAnsi="Arial" w:cs="Arial"/>
          <w:sz w:val="16"/>
        </w:rPr>
        <w:t>22.03.2021 r.</w:t>
      </w:r>
    </w:p>
    <w:sectPr w:rsidR="00426822" w:rsidRPr="00CB1E9A" w:rsidSect="0098474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D07" w:rsidRDefault="00FD3D07" w:rsidP="00FC7963">
      <w:r>
        <w:separator/>
      </w:r>
    </w:p>
  </w:endnote>
  <w:endnote w:type="continuationSeparator" w:id="0">
    <w:p w:rsidR="00FD3D07" w:rsidRDefault="00FD3D07" w:rsidP="00FC7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883600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1A153F" w:rsidRPr="00FC7963" w:rsidRDefault="00792872" w:rsidP="00FC796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895AD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E441D">
          <w:rPr>
            <w:rFonts w:ascii="Arial" w:hAnsi="Arial" w:cs="Arial"/>
            <w:noProof/>
            <w:sz w:val="20"/>
          </w:rPr>
          <w:t>1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D07" w:rsidRDefault="00FD3D07" w:rsidP="00FC7963">
      <w:r>
        <w:separator/>
      </w:r>
    </w:p>
  </w:footnote>
  <w:footnote w:type="continuationSeparator" w:id="0">
    <w:p w:rsidR="00FD3D07" w:rsidRDefault="00FD3D07" w:rsidP="00FC79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17E"/>
    <w:rsid w:val="00051465"/>
    <w:rsid w:val="001317B8"/>
    <w:rsid w:val="001413FF"/>
    <w:rsid w:val="00426822"/>
    <w:rsid w:val="006D0B6D"/>
    <w:rsid w:val="00792872"/>
    <w:rsid w:val="007E441D"/>
    <w:rsid w:val="0082617E"/>
    <w:rsid w:val="00895AD5"/>
    <w:rsid w:val="00CB1E9A"/>
    <w:rsid w:val="00E14E4E"/>
    <w:rsid w:val="00FC7963"/>
    <w:rsid w:val="00FD3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2617E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2617E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82617E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2617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61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61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C79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C796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mgajkowska</dc:creator>
  <cp:lastModifiedBy>mgajkowska</cp:lastModifiedBy>
  <cp:revision>3</cp:revision>
  <cp:lastPrinted>2021-03-25T11:05:00Z</cp:lastPrinted>
  <dcterms:created xsi:type="dcterms:W3CDTF">2021-03-25T09:15:00Z</dcterms:created>
  <dcterms:modified xsi:type="dcterms:W3CDTF">2021-03-25T11:08:00Z</dcterms:modified>
</cp:coreProperties>
</file>