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77B3E" w:rsidRDefault="00A938A8">
      <w:pPr>
        <w:jc w:val="center"/>
        <w:rPr>
          <w:b/>
          <w:caps/>
        </w:rPr>
      </w:pPr>
      <w:r>
        <w:rPr>
          <w:b/>
          <w:caps/>
        </w:rPr>
        <w:t>Uchwała nr ....................</w:t>
      </w:r>
      <w:r>
        <w:rPr>
          <w:b/>
          <w:caps/>
        </w:rPr>
        <w:br/>
        <w:t>Rady Miejskiej w Bytomiu</w:t>
      </w:r>
    </w:p>
    <w:p w:rsidR="00A77B3E" w:rsidRDefault="00A938A8">
      <w:pPr>
        <w:spacing w:before="280" w:after="280"/>
        <w:jc w:val="center"/>
        <w:rPr>
          <w:b/>
          <w:caps/>
        </w:rPr>
      </w:pPr>
      <w:r>
        <w:t>z dnia .................... 2026 r.</w:t>
      </w:r>
    </w:p>
    <w:p w:rsidR="00A77B3E" w:rsidRDefault="00A938A8">
      <w:pPr>
        <w:keepNext/>
        <w:spacing w:after="480"/>
        <w:jc w:val="center"/>
      </w:pPr>
      <w:r>
        <w:rPr>
          <w:b/>
        </w:rPr>
        <w:t>w sprawie określenia wysokości stawek podatku od nieruchomości na terenie miasta Bytomia</w:t>
      </w:r>
    </w:p>
    <w:p w:rsidR="00A77B3E" w:rsidRDefault="00A938A8">
      <w:pPr>
        <w:keepLines/>
        <w:spacing w:before="120" w:after="120"/>
        <w:ind w:firstLine="227"/>
      </w:pPr>
      <w:r>
        <w:t>Na podstawie art. 18 ust. 2 pkt 8, art. 40 ust. 1, art. 41 ust. 1 i art. </w:t>
      </w:r>
      <w:r>
        <w:t>42 ustawy z dnia 8 marca 1990 r. o samorządzie gminnym (Dz. U. z 2026 r. poz. 662 z późn. zm.), art. 5 ust. 1 ustawy z dnia 12 stycznia 1991 r. o podatkach i opłatach lokalnych (Dz. U. z 2025 r. poz. 707 z późn. zm.), art. 4 ust. 1, art. 8 i art. 13 pkt 2 </w:t>
      </w:r>
      <w:r>
        <w:t>ustawy z dnia 20 lipca 2000 r. o ogłaszaniu aktów normatywnych i niektórych innych aktów prawnych (Dz. U. z 2019 r. poz. 1461 z późn. zm.) uchwala się, co następuje:</w:t>
      </w:r>
    </w:p>
    <w:p w:rsidR="00A77B3E" w:rsidRDefault="00A938A8">
      <w:pPr>
        <w:keepNext/>
        <w:spacing w:before="120" w:after="120"/>
        <w:ind w:firstLine="340"/>
      </w:pPr>
      <w:r>
        <w:rPr>
          <w:b/>
        </w:rPr>
        <w:t>§ 1. </w:t>
      </w:r>
      <w:r>
        <w:t>Określa się roczne stawki podatku od nieruchomości:</w:t>
      </w:r>
    </w:p>
    <w:p w:rsidR="00A77B3E" w:rsidRDefault="00A938A8">
      <w:pPr>
        <w:keepNext/>
        <w:spacing w:before="120" w:after="120"/>
        <w:ind w:left="340" w:hanging="227"/>
      </w:pPr>
      <w:r>
        <w:t>1) </w:t>
      </w:r>
      <w:r>
        <w:t>od budynków lub ich części: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450"/>
        <w:gridCol w:w="8507"/>
        <w:gridCol w:w="1125"/>
      </w:tblGrid>
      <w:tr w:rsidR="00FC75CB">
        <w:trPr>
          <w:trHeight w:val="360"/>
        </w:trPr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</w:tcPr>
          <w:p w:rsidR="00A77B3E" w:rsidRDefault="00A938A8">
            <w:r>
              <w:t>a)</w:t>
            </w:r>
          </w:p>
        </w:tc>
        <w:tc>
          <w:tcPr>
            <w:tcW w:w="850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</w:tcPr>
          <w:p w:rsidR="00A77B3E" w:rsidRDefault="00A938A8">
            <w:r>
              <w:t>mieszkalnych – od 1 m² powierzchni użytkowej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</w:tcPr>
          <w:p w:rsidR="00A77B3E" w:rsidRDefault="00A938A8">
            <w:pPr>
              <w:jc w:val="right"/>
            </w:pPr>
            <w:r>
              <w:t>1,29 zł,</w:t>
            </w:r>
          </w:p>
        </w:tc>
      </w:tr>
      <w:tr w:rsidR="00FC75CB">
        <w:trPr>
          <w:trHeight w:val="955"/>
        </w:trPr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</w:tcPr>
          <w:p w:rsidR="00A77B3E" w:rsidRDefault="00A938A8">
            <w:r>
              <w:t>b)</w:t>
            </w:r>
          </w:p>
        </w:tc>
        <w:tc>
          <w:tcPr>
            <w:tcW w:w="850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</w:tcPr>
          <w:p w:rsidR="00A77B3E" w:rsidRDefault="00A938A8">
            <w:r>
              <w:t>związanych z prowadzeniem działalności gospodarczej oraz od budynków mieszkalnych lub ich części zajętych na prowadzenie działalności gospodarczej – od 1 m² powierzchni użytkowej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</w:tcPr>
          <w:p w:rsidR="00A77B3E" w:rsidRDefault="00A938A8">
            <w:pPr>
              <w:jc w:val="right"/>
            </w:pPr>
            <w:r>
              <w:br/>
            </w:r>
            <w:r>
              <w:br/>
              <w:t>36,49 zł,</w:t>
            </w:r>
          </w:p>
        </w:tc>
      </w:tr>
      <w:tr w:rsidR="00FC75CB">
        <w:trPr>
          <w:trHeight w:val="585"/>
        </w:trPr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</w:tcPr>
          <w:p w:rsidR="00A77B3E" w:rsidRDefault="00A938A8">
            <w:r>
              <w:t>c)</w:t>
            </w:r>
          </w:p>
        </w:tc>
        <w:tc>
          <w:tcPr>
            <w:tcW w:w="850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</w:tcPr>
          <w:p w:rsidR="00A77B3E" w:rsidRDefault="00A938A8">
            <w:r>
              <w:t>zajętych na prowadzenie działalności gospodarczej w zakresie obrotu kwalifikowanym materiałem siewnym – od 1 m² powierzchni użytkowej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</w:tcPr>
          <w:p w:rsidR="00A77B3E" w:rsidRDefault="00A938A8">
            <w:pPr>
              <w:jc w:val="right"/>
            </w:pPr>
            <w:r>
              <w:br/>
              <w:t>17,09 zł,</w:t>
            </w:r>
          </w:p>
        </w:tc>
      </w:tr>
      <w:tr w:rsidR="00FC75CB">
        <w:trPr>
          <w:trHeight w:val="795"/>
        </w:trPr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</w:tcPr>
          <w:p w:rsidR="00A77B3E" w:rsidRDefault="00A938A8">
            <w:r>
              <w:t>d)</w:t>
            </w:r>
          </w:p>
        </w:tc>
        <w:tc>
          <w:tcPr>
            <w:tcW w:w="850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</w:tcPr>
          <w:p w:rsidR="00A77B3E" w:rsidRDefault="00A938A8">
            <w:r>
              <w:t xml:space="preserve">związanych z udzielaniem świadczeń zdrowotnych w rozumieniu przepisów o działalności leczniczej, zajętych </w:t>
            </w:r>
            <w:r>
              <w:t>przez podmioty udzielające tych świadczeń</w:t>
            </w:r>
          </w:p>
          <w:p w:rsidR="00FC75CB" w:rsidRDefault="00A938A8">
            <w:r>
              <w:t>– od 1 m² powierzchni użytkowej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</w:tcPr>
          <w:p w:rsidR="00A77B3E" w:rsidRDefault="00A938A8">
            <w:pPr>
              <w:jc w:val="right"/>
            </w:pPr>
            <w:r>
              <w:br/>
            </w:r>
            <w:r>
              <w:br/>
              <w:t>7,47 zł,</w:t>
            </w:r>
          </w:p>
        </w:tc>
      </w:tr>
      <w:tr w:rsidR="00FC75CB">
        <w:trPr>
          <w:trHeight w:val="570"/>
        </w:trPr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</w:tcPr>
          <w:p w:rsidR="00A77B3E" w:rsidRDefault="00A938A8">
            <w:r>
              <w:t>e)</w:t>
            </w:r>
          </w:p>
        </w:tc>
        <w:tc>
          <w:tcPr>
            <w:tcW w:w="850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</w:tcPr>
          <w:p w:rsidR="00A77B3E" w:rsidRDefault="00A938A8">
            <w:r>
              <w:t>pozostałych, w tym zajętych na prowadzenie odpłatnej statutowej działalności pożytku publicznego przez organizacje pożytku publicznego – od 1 m² powierzchni użytkowej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</w:tcPr>
          <w:p w:rsidR="00A77B3E" w:rsidRDefault="00A77B3E">
            <w:pPr>
              <w:jc w:val="right"/>
            </w:pPr>
          </w:p>
          <w:p w:rsidR="00FC75CB" w:rsidRDefault="00FC75CB"/>
          <w:p w:rsidR="00FC75CB" w:rsidRDefault="00A938A8">
            <w:pPr>
              <w:jc w:val="right"/>
            </w:pPr>
            <w:r>
              <w:t>12,33 zł;</w:t>
            </w:r>
          </w:p>
        </w:tc>
      </w:tr>
    </w:tbl>
    <w:p w:rsidR="00A77B3E" w:rsidRDefault="00A938A8">
      <w:pPr>
        <w:keepNext/>
        <w:spacing w:before="120" w:after="120"/>
        <w:ind w:left="340" w:hanging="227"/>
      </w:pPr>
      <w:r>
        <w:t>2) </w:t>
      </w:r>
      <w:r>
        <w:t>od budowli: 2% wartości określonej na podstawie art. 4 ust. 1 pkt 3 i ust. 3 – 7 ustawy o podatkach i opłatach lokalnych;</w:t>
      </w:r>
    </w:p>
    <w:p w:rsidR="00A77B3E" w:rsidRDefault="00A938A8">
      <w:pPr>
        <w:keepNext/>
        <w:spacing w:before="120" w:after="120"/>
        <w:ind w:left="340" w:hanging="227"/>
      </w:pPr>
      <w:r>
        <w:t>3) </w:t>
      </w:r>
      <w:r>
        <w:t>od gruntów: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465"/>
        <w:gridCol w:w="8567"/>
        <w:gridCol w:w="1050"/>
      </w:tblGrid>
      <w:tr w:rsidR="00FC75CB">
        <w:trPr>
          <w:trHeight w:val="540"/>
        </w:trPr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</w:tcPr>
          <w:p w:rsidR="00A77B3E" w:rsidRDefault="00A938A8">
            <w:r>
              <w:t>a)</w:t>
            </w:r>
          </w:p>
        </w:tc>
        <w:tc>
          <w:tcPr>
            <w:tcW w:w="856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</w:tcPr>
          <w:p w:rsidR="00A77B3E" w:rsidRDefault="00A938A8">
            <w:r>
              <w:t>związanych z prowadzeniem działalności gospodarczej, bez względu na sposób zakwalifikowania w </w:t>
            </w:r>
            <w:r>
              <w:t>ewidencji gruntów i budynków – od 1 m² powierzchni</w:t>
            </w: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</w:tcPr>
          <w:p w:rsidR="00A77B3E" w:rsidRDefault="00A938A8">
            <w:pPr>
              <w:jc w:val="right"/>
            </w:pPr>
            <w:r>
              <w:br/>
              <w:t>1,49 zł,</w:t>
            </w:r>
          </w:p>
        </w:tc>
      </w:tr>
      <w:tr w:rsidR="00FC75CB">
        <w:trPr>
          <w:trHeight w:val="570"/>
        </w:trPr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</w:tcPr>
          <w:p w:rsidR="00A77B3E" w:rsidRDefault="00A938A8">
            <w:r>
              <w:t>b)</w:t>
            </w:r>
          </w:p>
        </w:tc>
        <w:tc>
          <w:tcPr>
            <w:tcW w:w="856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</w:tcPr>
          <w:p w:rsidR="00A77B3E" w:rsidRDefault="00A938A8">
            <w:r>
              <w:t>pod wodami powierzchniowymi stojącymi lub wodami powierzchniowymi płynącymi jezior i zbiorników sztucznych – od 1 ha powierzchni</w:t>
            </w: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</w:tcPr>
          <w:p w:rsidR="00A77B3E" w:rsidRDefault="00A938A8">
            <w:pPr>
              <w:jc w:val="right"/>
            </w:pPr>
            <w:r>
              <w:br/>
              <w:t>7,35 zł,</w:t>
            </w:r>
          </w:p>
        </w:tc>
      </w:tr>
      <w:tr w:rsidR="00FC75CB">
        <w:trPr>
          <w:trHeight w:val="570"/>
        </w:trPr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</w:tcPr>
          <w:p w:rsidR="00A77B3E" w:rsidRDefault="00A938A8">
            <w:r>
              <w:t>c)</w:t>
            </w:r>
          </w:p>
        </w:tc>
        <w:tc>
          <w:tcPr>
            <w:tcW w:w="856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</w:tcPr>
          <w:p w:rsidR="00A77B3E" w:rsidRDefault="00A938A8">
            <w:r>
              <w:t xml:space="preserve">pozostałych, w tym zajętych na prowadzenie </w:t>
            </w:r>
            <w:r>
              <w:t>odpłatnej statutowej działalności pożytku publicznego przez organizacje pożytku publicznego – od 1 m² powierzchni</w:t>
            </w: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</w:tcPr>
          <w:p w:rsidR="00A77B3E" w:rsidRDefault="00A77B3E">
            <w:pPr>
              <w:jc w:val="right"/>
            </w:pPr>
          </w:p>
          <w:p w:rsidR="00FC75CB" w:rsidRDefault="00FC75CB"/>
          <w:p w:rsidR="00FC75CB" w:rsidRDefault="00A938A8">
            <w:pPr>
              <w:jc w:val="right"/>
            </w:pPr>
            <w:r>
              <w:t>0,80 zł,</w:t>
            </w:r>
          </w:p>
        </w:tc>
      </w:tr>
      <w:tr w:rsidR="00FC75CB">
        <w:trPr>
          <w:trHeight w:val="641"/>
        </w:trPr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</w:tcPr>
          <w:p w:rsidR="00A77B3E" w:rsidRDefault="00A938A8">
            <w:r>
              <w:t>d)</w:t>
            </w:r>
          </w:p>
        </w:tc>
        <w:tc>
          <w:tcPr>
            <w:tcW w:w="856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</w:tcPr>
          <w:p w:rsidR="00A77B3E" w:rsidRDefault="00A938A8">
            <w:r>
              <w:t xml:space="preserve">niezabudowanych objętych obszarem rewitalizacji, o którym mowa w ustawie z dnia 9 października 2015 r. o rewitalizacji (Dz. U. </w:t>
            </w:r>
            <w:r>
              <w:t xml:space="preserve">z 2024 r. poz. 278) i położonych na terenach, dla których miejscowy plan zagospodarowania przestrzennego przewiduje przeznaczenie pod zabudowę mieszkaniową, usługową albo zabudowę o przeznaczeniu mieszanym obejmującym </w:t>
            </w:r>
            <w:r>
              <w:lastRenderedPageBreak/>
              <w:t xml:space="preserve">wyłącznie te rodzaje zabudowy, jeżeli </w:t>
            </w:r>
            <w:r>
              <w:t>od dnia wejścia w życie tego planu w odniesieniu do tych gruntów upłynął okres 4 lat, a w tym czasie nie zakończono budowy zgodnie z przepisami prawa budowlanego – od 1 m² powierzchni</w:t>
            </w: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</w:tcPr>
          <w:p w:rsidR="00A77B3E" w:rsidRDefault="00A77B3E"/>
          <w:p w:rsidR="00FC75CB" w:rsidRDefault="00FC75CB"/>
          <w:p w:rsidR="00FC75CB" w:rsidRDefault="00FC75CB"/>
          <w:p w:rsidR="00FC75CB" w:rsidRDefault="00FC75CB"/>
          <w:p w:rsidR="00FC75CB" w:rsidRDefault="00FC75CB"/>
          <w:p w:rsidR="00FC75CB" w:rsidRDefault="00FC75CB"/>
          <w:p w:rsidR="00FC75CB" w:rsidRDefault="00FC75CB"/>
          <w:p w:rsidR="00FC75CB" w:rsidRDefault="00FC75CB"/>
          <w:p w:rsidR="00FC75CB" w:rsidRDefault="00A938A8">
            <w:pPr>
              <w:jc w:val="right"/>
            </w:pPr>
            <w:r>
              <w:t>4,85 zł.</w:t>
            </w:r>
          </w:p>
        </w:tc>
      </w:tr>
    </w:tbl>
    <w:p w:rsidR="00A77B3E" w:rsidRDefault="00A938A8">
      <w:pPr>
        <w:keepNext/>
        <w:spacing w:before="120" w:after="120"/>
        <w:ind w:firstLine="340"/>
      </w:pPr>
      <w:r>
        <w:rPr>
          <w:b/>
        </w:rPr>
        <w:lastRenderedPageBreak/>
        <w:t>§ 2. </w:t>
      </w:r>
      <w:r>
        <w:t>Traci moc uchwała nr XXIV/214/25 Rady Miejskiej w</w:t>
      </w:r>
      <w:r>
        <w:t> Bytomiu z dnia 24 listopada 2025 r. w sprawie wysokości stawek podatku od nieruchomości na terenie miasta Bytomia (Dz. Urz. Woj. Śl. z 2025 r. poz. 7074).</w:t>
      </w:r>
    </w:p>
    <w:p w:rsidR="00A77B3E" w:rsidRDefault="00A938A8">
      <w:pPr>
        <w:keepNext/>
        <w:spacing w:before="120" w:after="120"/>
        <w:ind w:firstLine="340"/>
      </w:pPr>
      <w:r>
        <w:rPr>
          <w:b/>
        </w:rPr>
        <w:t>§ 3. </w:t>
      </w:r>
      <w:r>
        <w:t>Wykonanie uchwały powierza się Prezydentowi Miasta.</w:t>
      </w:r>
    </w:p>
    <w:p w:rsidR="00A77B3E" w:rsidRDefault="00A938A8">
      <w:pPr>
        <w:keepNext/>
        <w:spacing w:before="120" w:after="120"/>
        <w:ind w:firstLine="340"/>
        <w:sectPr w:rsidR="00A77B3E">
          <w:footerReference w:type="default" r:id="rId6"/>
          <w:endnotePr>
            <w:numFmt w:val="decimal"/>
          </w:endnotePr>
          <w:pgSz w:w="11906" w:h="16838"/>
          <w:pgMar w:top="1134" w:right="1020" w:bottom="992" w:left="1020" w:header="708" w:footer="708" w:gutter="0"/>
          <w:cols w:space="708"/>
          <w:docGrid w:linePitch="360"/>
        </w:sectPr>
      </w:pPr>
      <w:r>
        <w:rPr>
          <w:b/>
        </w:rPr>
        <w:t>§ 4. </w:t>
      </w:r>
      <w:r>
        <w:t>Uchwała podlega ogłoszeniu w Dzienniku Urzędowym Województwa Śląskiego i wchodzi w życie z dniem 1 stycznia 2027 r.</w:t>
      </w:r>
    </w:p>
    <w:p w:rsidR="00FC75CB" w:rsidRDefault="00FC75CB">
      <w:pPr>
        <w:rPr>
          <w:rFonts w:eastAsia="Times New Roman" w:cs="Times New Roman"/>
          <w:szCs w:val="20"/>
        </w:rPr>
      </w:pPr>
    </w:p>
    <w:p w:rsidR="00FC75CB" w:rsidRDefault="00A938A8">
      <w:pPr>
        <w:jc w:val="center"/>
        <w:rPr>
          <w:rFonts w:eastAsia="Times New Roman" w:cs="Times New Roman"/>
          <w:szCs w:val="20"/>
        </w:rPr>
      </w:pPr>
      <w:r>
        <w:rPr>
          <w:rFonts w:eastAsia="Times New Roman" w:cs="Times New Roman"/>
          <w:caps/>
          <w:szCs w:val="20"/>
        </w:rPr>
        <w:t>Uzasadnienie</w:t>
      </w:r>
    </w:p>
    <w:p w:rsidR="00FC75CB" w:rsidRDefault="00A938A8">
      <w:pPr>
        <w:spacing w:before="120" w:after="120"/>
        <w:ind w:firstLine="227"/>
        <w:rPr>
          <w:rFonts w:eastAsia="Times New Roman" w:cs="Times New Roman"/>
          <w:szCs w:val="20"/>
        </w:rPr>
      </w:pPr>
      <w:r>
        <w:rPr>
          <w:rFonts w:eastAsia="Times New Roman" w:cs="Times New Roman"/>
          <w:szCs w:val="20"/>
        </w:rPr>
        <w:t xml:space="preserve">Na podstawie </w:t>
      </w:r>
      <w:r>
        <w:rPr>
          <w:rFonts w:eastAsia="Times New Roman" w:cs="Times New Roman"/>
          <w:szCs w:val="20"/>
        </w:rPr>
        <w:t>ustawy o podatkach i opłatach lokalnych, górne granice stawek podatku od nieruchomości na 2027 rok waloryzowane są o wskaźnik wzrostu cen towarów i usług konsumpcyjnych w okresie pierwszego półrocza roku, w którym stawki ulegają zmianie, w stosunku do anal</w:t>
      </w:r>
      <w:r>
        <w:rPr>
          <w:rFonts w:eastAsia="Times New Roman" w:cs="Times New Roman"/>
          <w:szCs w:val="20"/>
        </w:rPr>
        <w:t>ogicznego okresu roku poprzedniego. Wskaźnik ten ogłaszany jest przez Prezesa Głównego Urzędu Statystycznego i za I półrocze 2026 roku wyniósł 2,7%.</w:t>
      </w:r>
    </w:p>
    <w:p w:rsidR="00FC75CB" w:rsidRDefault="00A938A8">
      <w:pPr>
        <w:spacing w:before="120" w:after="120"/>
        <w:ind w:firstLine="227"/>
        <w:rPr>
          <w:rFonts w:eastAsia="Times New Roman" w:cs="Times New Roman"/>
          <w:szCs w:val="20"/>
        </w:rPr>
      </w:pPr>
      <w:r>
        <w:rPr>
          <w:rFonts w:eastAsia="Times New Roman" w:cs="Times New Roman"/>
          <w:szCs w:val="20"/>
        </w:rPr>
        <w:t>Zgodnie z opublikowanym wskaźnikiem, maksymalne możliwe do zastosowania na 2027 rok stawki podatkowe przeli</w:t>
      </w:r>
      <w:r>
        <w:rPr>
          <w:rFonts w:eastAsia="Times New Roman" w:cs="Times New Roman"/>
          <w:szCs w:val="20"/>
        </w:rPr>
        <w:t>czone zostały przez Ministra Finansów i określone w obwieszczeniu z dnia 23 lipca 2026 r. w sprawie górnych granic stawek kwotowych podatków i opłat lokalnych na rok 2027 (M. P. z dnia 28 lipca 2026 r. poz. 741).</w:t>
      </w:r>
    </w:p>
    <w:p w:rsidR="00FC75CB" w:rsidRDefault="00A938A8">
      <w:pPr>
        <w:spacing w:before="120" w:after="120"/>
        <w:ind w:firstLine="227"/>
        <w:rPr>
          <w:rFonts w:eastAsia="Times New Roman" w:cs="Times New Roman"/>
          <w:szCs w:val="20"/>
        </w:rPr>
      </w:pPr>
      <w:r>
        <w:rPr>
          <w:rFonts w:eastAsia="Times New Roman" w:cs="Times New Roman"/>
          <w:szCs w:val="20"/>
        </w:rPr>
        <w:t>W projekcie uchwały zaproponowano na 2027 r</w:t>
      </w:r>
      <w:r>
        <w:rPr>
          <w:rFonts w:eastAsia="Times New Roman" w:cs="Times New Roman"/>
          <w:szCs w:val="20"/>
        </w:rPr>
        <w:t>ok stawki maksymalne. Konieczność określenia stawek w takiej wysokości wiąże się z założeniami do projektu budżetu miasta Bytomia na 2027 rok, zgodnie z którymi dla ustalenia wysokości dochodów z tytułu podatku od nieruchomości przyjęto stawki określone w </w:t>
      </w:r>
      <w:r>
        <w:rPr>
          <w:rFonts w:eastAsia="Times New Roman" w:cs="Times New Roman"/>
          <w:szCs w:val="20"/>
        </w:rPr>
        <w:t>obwieszczeniu Ministra Finansów w sprawie górnych granic stawek kwotowych podatków i opłat lokalnych na rok 2027.</w:t>
      </w:r>
    </w:p>
    <w:p w:rsidR="00FC75CB" w:rsidRDefault="00A938A8">
      <w:pPr>
        <w:spacing w:before="120" w:after="120"/>
        <w:ind w:firstLine="227"/>
        <w:rPr>
          <w:rFonts w:eastAsia="Times New Roman" w:cs="Times New Roman"/>
          <w:szCs w:val="20"/>
        </w:rPr>
      </w:pPr>
      <w:r>
        <w:rPr>
          <w:rFonts w:eastAsia="Times New Roman" w:cs="Times New Roman"/>
          <w:szCs w:val="20"/>
        </w:rPr>
        <w:t>Planowane dochody z tytułu podatku od nieruchomości będą możliwe do wykonania przy uwzględnieniu stawek podatkowych na 2027 rok, ujętych w nin</w:t>
      </w:r>
      <w:r>
        <w:rPr>
          <w:rFonts w:eastAsia="Times New Roman" w:cs="Times New Roman"/>
          <w:szCs w:val="20"/>
        </w:rPr>
        <w:t>iejszym projekcie.</w:t>
      </w:r>
    </w:p>
    <w:p w:rsidR="00FC75CB" w:rsidRDefault="00FC75CB">
      <w:pPr>
        <w:spacing w:before="120" w:after="120"/>
        <w:ind w:firstLine="227"/>
        <w:rPr>
          <w:rFonts w:eastAsia="Times New Roman" w:cs="Times New Roman"/>
          <w:szCs w:val="20"/>
        </w:rPr>
      </w:pPr>
    </w:p>
    <w:sectPr w:rsidR="00FC75CB" w:rsidSect="00FC75CB">
      <w:footerReference w:type="default" r:id="rId7"/>
      <w:endnotePr>
        <w:numFmt w:val="decimal"/>
      </w:endnotePr>
      <w:pgSz w:w="11906" w:h="16838"/>
      <w:pgMar w:top="1417" w:right="1020" w:bottom="992" w:left="1020" w:header="708" w:footer="708" w:gutter="0"/>
      <w:cols w:space="70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938A8" w:rsidRDefault="00A938A8" w:rsidP="00FC75CB">
      <w:r>
        <w:separator/>
      </w:r>
    </w:p>
  </w:endnote>
  <w:endnote w:type="continuationSeparator" w:id="0">
    <w:p w:rsidR="00A938A8" w:rsidRDefault="00A938A8" w:rsidP="00FC75C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/>
    </w:tblPr>
    <w:tblGrid>
      <w:gridCol w:w="6721"/>
      <w:gridCol w:w="3361"/>
    </w:tblGrid>
    <w:tr w:rsidR="00FC75CB">
      <w:tc>
        <w:tcPr>
          <w:tcW w:w="6577" w:type="dxa"/>
          <w:tcBorders>
            <w:top w:val="single" w:sz="2" w:space="0" w:color="auto"/>
            <w:left w:val="nil"/>
            <w:bottom w:val="nil"/>
            <w:right w:val="nil"/>
          </w:tcBorders>
          <w:tcMar>
            <w:top w:w="100" w:type="dxa"/>
          </w:tcMar>
        </w:tcPr>
        <w:p w:rsidR="00FC75CB" w:rsidRDefault="00A938A8">
          <w:pPr>
            <w:rPr>
              <w:sz w:val="18"/>
            </w:rPr>
          </w:pPr>
          <w:r>
            <w:rPr>
              <w:sz w:val="18"/>
            </w:rPr>
            <w:t>Id: DA1AA311-D602-49CC-8218-1AD4E6FB9D85. Projekt</w:t>
          </w:r>
        </w:p>
      </w:tc>
      <w:tc>
        <w:tcPr>
          <w:tcW w:w="3289" w:type="dxa"/>
          <w:tcBorders>
            <w:top w:val="single" w:sz="2" w:space="0" w:color="auto"/>
            <w:left w:val="nil"/>
            <w:bottom w:val="nil"/>
            <w:right w:val="nil"/>
          </w:tcBorders>
          <w:tcMar>
            <w:top w:w="100" w:type="dxa"/>
          </w:tcMar>
        </w:tcPr>
        <w:p w:rsidR="00FC75CB" w:rsidRDefault="00A938A8">
          <w:pPr>
            <w:jc w:val="right"/>
            <w:rPr>
              <w:sz w:val="18"/>
            </w:rPr>
          </w:pPr>
          <w:r>
            <w:rPr>
              <w:sz w:val="18"/>
            </w:rPr>
            <w:t xml:space="preserve">Strona </w:t>
          </w:r>
          <w:r w:rsidR="00FC75CB">
            <w:rPr>
              <w:sz w:val="18"/>
            </w:rPr>
            <w:fldChar w:fldCharType="begin"/>
          </w:r>
          <w:r>
            <w:rPr>
              <w:sz w:val="18"/>
            </w:rPr>
            <w:instrText>PAGE</w:instrText>
          </w:r>
          <w:r w:rsidR="003C29F0">
            <w:rPr>
              <w:sz w:val="18"/>
            </w:rPr>
            <w:fldChar w:fldCharType="separate"/>
          </w:r>
          <w:r w:rsidR="003C29F0">
            <w:rPr>
              <w:noProof/>
              <w:sz w:val="18"/>
            </w:rPr>
            <w:t>2</w:t>
          </w:r>
          <w:r w:rsidR="00FC75CB">
            <w:rPr>
              <w:sz w:val="18"/>
            </w:rPr>
            <w:fldChar w:fldCharType="end"/>
          </w:r>
        </w:p>
      </w:tc>
    </w:tr>
  </w:tbl>
  <w:p w:rsidR="00FC75CB" w:rsidRDefault="00FC75CB">
    <w:pPr>
      <w:rPr>
        <w:sz w:val="18"/>
      </w:rPr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/>
    </w:tblPr>
    <w:tblGrid>
      <w:gridCol w:w="6721"/>
      <w:gridCol w:w="3361"/>
    </w:tblGrid>
    <w:tr w:rsidR="00FC75CB">
      <w:tc>
        <w:tcPr>
          <w:tcW w:w="6577" w:type="dxa"/>
          <w:tcBorders>
            <w:top w:val="single" w:sz="2" w:space="0" w:color="auto"/>
            <w:left w:val="nil"/>
            <w:bottom w:val="nil"/>
            <w:right w:val="nil"/>
          </w:tcBorders>
          <w:tcMar>
            <w:top w:w="100" w:type="dxa"/>
          </w:tcMar>
        </w:tcPr>
        <w:p w:rsidR="00FC75CB" w:rsidRDefault="00A938A8">
          <w:pPr>
            <w:rPr>
              <w:sz w:val="18"/>
            </w:rPr>
          </w:pPr>
          <w:r>
            <w:rPr>
              <w:sz w:val="18"/>
            </w:rPr>
            <w:t>Id: DA1AA311-D602-49CC-8218-1AD4E6FB9D85. Projekt</w:t>
          </w:r>
        </w:p>
      </w:tc>
      <w:tc>
        <w:tcPr>
          <w:tcW w:w="3289" w:type="dxa"/>
          <w:tcBorders>
            <w:top w:val="single" w:sz="2" w:space="0" w:color="auto"/>
            <w:left w:val="nil"/>
            <w:bottom w:val="nil"/>
            <w:right w:val="nil"/>
          </w:tcBorders>
          <w:tcMar>
            <w:top w:w="100" w:type="dxa"/>
          </w:tcMar>
        </w:tcPr>
        <w:p w:rsidR="00FC75CB" w:rsidRDefault="00A938A8">
          <w:pPr>
            <w:jc w:val="right"/>
            <w:rPr>
              <w:sz w:val="18"/>
            </w:rPr>
          </w:pPr>
          <w:r>
            <w:rPr>
              <w:sz w:val="18"/>
            </w:rPr>
            <w:t xml:space="preserve">Strona </w:t>
          </w:r>
          <w:r w:rsidR="00FC75CB">
            <w:rPr>
              <w:sz w:val="18"/>
            </w:rPr>
            <w:fldChar w:fldCharType="begin"/>
          </w:r>
          <w:r>
            <w:rPr>
              <w:sz w:val="18"/>
            </w:rPr>
            <w:instrText>PAGE</w:instrText>
          </w:r>
          <w:r w:rsidR="003C29F0">
            <w:rPr>
              <w:sz w:val="18"/>
            </w:rPr>
            <w:fldChar w:fldCharType="separate"/>
          </w:r>
          <w:r w:rsidR="003C29F0">
            <w:rPr>
              <w:noProof/>
              <w:sz w:val="18"/>
            </w:rPr>
            <w:t>3</w:t>
          </w:r>
          <w:r w:rsidR="00FC75CB">
            <w:rPr>
              <w:sz w:val="18"/>
            </w:rPr>
            <w:fldChar w:fldCharType="end"/>
          </w:r>
        </w:p>
      </w:tc>
    </w:tr>
  </w:tbl>
  <w:p w:rsidR="00FC75CB" w:rsidRDefault="00FC75CB">
    <w:pPr>
      <w:rPr>
        <w:sz w:val="18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938A8" w:rsidRDefault="00A938A8" w:rsidP="00FC75CB">
      <w:r>
        <w:separator/>
      </w:r>
    </w:p>
  </w:footnote>
  <w:footnote w:type="continuationSeparator" w:id="0">
    <w:p w:rsidR="00A938A8" w:rsidRDefault="00A938A8" w:rsidP="00FC75CB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20"/>
  <w:hyphenationZone w:val="425"/>
  <w:noPunctuationKerning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77B3E"/>
    <w:rsid w:val="003C29F0"/>
    <w:rsid w:val="00A77B3E"/>
    <w:rsid w:val="00A938A8"/>
    <w:rsid w:val="00CA2A55"/>
    <w:rsid w:val="00FC75C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pl-PL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ny">
    <w:name w:val="Normal"/>
    <w:qFormat/>
    <w:rsid w:val="00FC75CB"/>
    <w:rPr>
      <w:rFonts w:ascii="Arial" w:eastAsia="Arial" w:hAnsi="Arial" w:cs="Arial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637</Words>
  <Characters>3825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Rada Miejska w Bytomiu</Company>
  <LinksUpToDate>false</LinksUpToDate>
  <CharactersWithSpaces>4454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</dc:title>
  <dc:subject>w sprawie określenia wysokości stawek podatku od nieruchomości na terenie miasta Bytomia</dc:subject>
  <dc:creator>etobor</dc:creator>
  <cp:lastModifiedBy>amarczyk</cp:lastModifiedBy>
  <cp:revision>2</cp:revision>
  <dcterms:created xsi:type="dcterms:W3CDTF">2026-10-16T07:25:00Z</dcterms:created>
  <dcterms:modified xsi:type="dcterms:W3CDTF">2026-10-16T07:25:00Z</dcterms:modified>
  <cp:category>Akt prawny</cp:category>
</cp:coreProperties>
</file>