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5C42BD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5C42BD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:rsidR="00A77B3E" w:rsidRDefault="005C42BD">
      <w:pPr>
        <w:keepNext/>
        <w:spacing w:after="480" w:line="276" w:lineRule="auto"/>
        <w:jc w:val="center"/>
      </w:pPr>
      <w:r>
        <w:rPr>
          <w:b/>
        </w:rPr>
        <w:t>uchylająca uchwałę nr XV/201/13 Rady Miejskiej w Bytomiu w sprawie utworzenia Bytomskiej Strefy Aktywności Gospodarczej (BSAG)</w:t>
      </w:r>
    </w:p>
    <w:p w:rsidR="00A77B3E" w:rsidRDefault="005C42BD">
      <w:pPr>
        <w:keepLines/>
        <w:spacing w:before="120" w:after="120" w:line="276" w:lineRule="auto"/>
        <w:ind w:firstLine="227"/>
      </w:pPr>
      <w:r>
        <w:t>Na podstawie art. 18 ust.1 ustawy z dnia 8 marca 1990 r. o samorządzie gminnym (Dz. U. z 2026 r. poz. 662, z </w:t>
      </w:r>
      <w:proofErr w:type="spellStart"/>
      <w:r>
        <w:t>późn</w:t>
      </w:r>
      <w:proofErr w:type="spellEnd"/>
      <w:r>
        <w:t>. zm.) uchwala się, co następuje:</w:t>
      </w:r>
    </w:p>
    <w:p w:rsidR="00A77B3E" w:rsidRDefault="005C42BD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Uchyla się uchwałę nr XV/201/13 Rady Miejskiej w Bytomiu z dnia 27 maja 2013 r. w sprawie utworzenia Bytomskiej Strefy Aktywności Gospodarczej (BSAG), z </w:t>
      </w:r>
      <w:proofErr w:type="spellStart"/>
      <w:r>
        <w:t>późn</w:t>
      </w:r>
      <w:proofErr w:type="spellEnd"/>
      <w:r>
        <w:t>. zm.</w:t>
      </w:r>
    </w:p>
    <w:p w:rsidR="00A77B3E" w:rsidRDefault="005C42BD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5C42BD">
      <w:pPr>
        <w:keepLines/>
        <w:spacing w:before="120" w:after="120" w:line="276" w:lineRule="auto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3. </w:t>
      </w:r>
      <w:r>
        <w:t>Uchwała wchodzi w życie z dniem podjęcia.</w:t>
      </w:r>
    </w:p>
    <w:p w:rsidR="00216DD0" w:rsidRDefault="00216DD0">
      <w:pPr>
        <w:rPr>
          <w:rFonts w:eastAsia="Times New Roman" w:cs="Times New Roman"/>
          <w:szCs w:val="20"/>
        </w:rPr>
      </w:pPr>
    </w:p>
    <w:p w:rsidR="00216DD0" w:rsidRDefault="005C42BD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Bytomska Strefa Aktywności Gospodarczej została utworzona na mocy uchwały nr XV/201/13 Rady Miejskiej w Bytomiu z dnia 27 maja 2013 r. w sprawie utworzenia Bytomskiej Strefy Aktywności Gospodarczej (BSAG). Jej intencją było stworzenie wydzielonych obszarów inwestycyjnych, w obrębie których zainteresowani przedsiębiorcy, w zamian za atrakcyjne stawki dzierżawy terenów, otworzą nowe inwestycje, spełniające określone wymagania dotyczące: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utworzenia nowych miejsc pracy,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wartości zainwestowanych środków,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zlokalizowania działalności na terenie Bytomia.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Zakładano, że niskie koszty dzierżawy pozwolą potencjalnym inwestorom na łatwiejsze finansowanie inwestycji ze środków własnych, natomiast po rozwinięciu przedsięwzięcia, przedsiębiorca będzie mógł ubiegać się o </w:t>
      </w:r>
      <w:proofErr w:type="spellStart"/>
      <w:r>
        <w:rPr>
          <w:rFonts w:eastAsia="Times New Roman" w:cs="Times New Roman"/>
          <w:szCs w:val="20"/>
        </w:rPr>
        <w:t>bezprzetargowe</w:t>
      </w:r>
      <w:proofErr w:type="spellEnd"/>
      <w:r>
        <w:rPr>
          <w:rFonts w:eastAsia="Times New Roman" w:cs="Times New Roman"/>
          <w:szCs w:val="20"/>
        </w:rPr>
        <w:t xml:space="preserve"> nabycie terenu lub kontynuację wieloletniej umowy dzierżawy.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Uchwała nr XV/201/13 z dnia 27 maja 2013 r. była zmieniana uchwałami: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XXIII/309/13 z dnia 25 listopada 2013 r.,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LV/673/17 z dnia 30 października 2017 r.,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XXII/320/19 z dnia 16 grudnia 2019 r.,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XXXVIII/535/21 z dnia 25 stycznia 2021 r.,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gdzie zmiany dotyczyły przede wszystkim ilości i powierzchni obszarów wchodzących w skład Bytomskiej Strefy Aktywności Gospodarczej.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okresie od maja 2013 r. do września 2026 r. w skład BSAG wchodziły: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Obszar I, zlokalizowany przy ul. Hajdy, o powierzchni 3,2 ha. Obszar został wprowadzony do BSAG uchwałą nr XV/201/13 Rady Miejskiej w Bytomiu z dnia 27 maja 2013 r., zmieniony uchwałami nr LV/673/17 z dnia 30 października 2017 r. oraz nr XXII/320/19 z dnia 16 grudnia 2019 r. i wycofany z BSAG uchwałą nr XXXVIII/535/21 z dnia 25 stycznia 2021 r.,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Obszar II, zlokalizowany przy ul. Hajdy, o powierzchni 2,8 ha. Obszar został wprowadzony do BSAG uchwałą nr XV/201/13 Rady Miejskiej w Bytomiu z dnia 27 maja 2013 r. i został zmieniony uchwałą nr LV/673/17 z dnia 30 października 2017 r.,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Obszar III, zlokalizowany przy ul. Kilara, o powierzchni 2,3 ha. Obszar został wprowadzony do BSAG uchwałą nr XXIII/309/13 z dnia 25 listopada 2013 r.,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Obszar IV, zlokalizowany przy ul. Dworskiej, o powierzchni 0,9 ha. Obszar został wprowadzony do BSAG uchwałą nr XXIII/309/13 z dnia 25 listopada 2013 r.</w:t>
      </w:r>
      <w:r>
        <w:rPr>
          <w:rFonts w:eastAsia="Times New Roman" w:cs="Times New Roman"/>
          <w:szCs w:val="20"/>
        </w:rPr>
        <w:br/>
        <w:t>i wycofany z BSAG uchwałą nr XXII/320/19 z dnia 16 grudnia 2019 r.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lastRenderedPageBreak/>
        <w:t>Wszystkie tereny, wycofane dotychczas z granic Bytomskiej Strefy Aktywności Gospodarczej stosownymi uchwałami Rady Miejskiej w Bytomiu, zostały ostatecznie sprzedane.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Obecnie w skład Bytomskiej Strefy Aktywności Gospodarczej wchodzą: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Obszar II, na którym funkcjonuje jeden dzierżawca. W związku z niewywiązywaniem się dzierżawcy z warunków umowy dzierżawy podjęto decyzję o wypowiedzeniu przedmiotowej umowy w części dotyczącej preferencyjnej stawki dzierżawy wynikającej z regulaminu Bytomskiej Strefy Aktywności Gospodarczej. Jednocześnie dzierżawcy zaproponowano kontynuowanie dzierżawy na warunkach ogólnych, wynikających z uchwały nr LXVII/868/18 Rady Miejskiej w Bytomiu z dnia 23 lipca 2018 r. w sprawie ogłoszenia jednolitego tekstu uchwały nr XVII/235/11 Rady Miejskiej w Bytomiu z dnia 28 września 2011 r. w sprawie ustalenia zasad gospodarowania zasobem nieruchomości gminy Bytom, z </w:t>
      </w:r>
      <w:proofErr w:type="spellStart"/>
      <w:r>
        <w:rPr>
          <w:rFonts w:eastAsia="Times New Roman" w:cs="Times New Roman"/>
          <w:szCs w:val="20"/>
        </w:rPr>
        <w:t>późn</w:t>
      </w:r>
      <w:proofErr w:type="spellEnd"/>
      <w:r>
        <w:rPr>
          <w:rFonts w:eastAsia="Times New Roman" w:cs="Times New Roman"/>
          <w:szCs w:val="20"/>
        </w:rPr>
        <w:t>. zm. Konsekwencją takiego rozwiązania jest propozycja wykreślenia Obszaru II z granic BSAG,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Obszar III, o powierzchni 2,3 ha, na którym nie działa żaden dzierżawca. Ostatnia umowa dzierżawy dla tego obszaru obejmowała obszar 1,4 ha, została rozwiązana w marcu 2024 roku – na wniosek dzierżawcy i od tego czasu nie pojawiło się zainteresowanie ze strony inwestorów dzierżawą terenów w tym obszarze. Ocenia się, że brak zainteresowania jest spowodowany wysokimi szacowanymi kosztami uzbrojenia przedmiotowego terenu, które w rażący sposób podnoszą wartość nakładów koniecznych do zrealizowania inwestycji związanych z działalnością gospodarczą na tych nieruchomościach, co jednocześnie jest sprzeczne z ideą Bytomskiej Strefy Aktywności Gospodarczej. Ponadto potencjalnych inwestorów zniechęca ryzyko finansowe poniesienia nakładów względem terenu niebędącego ich własnością, a formuła dzierżawy ogranicza możliwość wniesienia nieruchomości jako zabezpieczenia kredytu finansującego przyszłą inwestycję. Biorąc powyższe pod uwagę ocenia się, że propozycja sprzedaży terenu szybciej i skuteczniej przyczyni się do rozwoju działalności gospodarczej na tym obszarze niż dotychczas proponowana formuła dzierżawy w ramach BSAG.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okresie od maja 2013 r. do września 2026 r., w ramach BSAG, umowy dzierżawy zawarło 13 inwestorów, w tym: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dla Obszaru I: 5 inwestorów,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dla Obszaru II: 3 inwestorów,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dla Obszaru III: 4 inwestorów,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dla Obszaru IV: 1 inwestor,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przy czym żaden z nich nie zrealizował w pełni założeń wynikających z regulaminu Bytomskiej Strefy Aktywności Gospodarczej ani warunków zawartych w umowach dzierżawy. Rozpoczęcie robót budowlanych związanych z procesem inwestycyjnym, w ramach BSAG, nastąpiło w dwóch przypadkach: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w Obszarze I, gdzie inwestycja została rozpoczęta w ramach BSAG, natomiast jej zakończenie dokonało się po zbyciu nieruchomości, w trybie przetargowym, na rzecz dotychczasowego dzierżawcy,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lastRenderedPageBreak/>
        <w:t>- w Obszarze II, gdzie rozpoczęta inwestycja nie jest kontynuowana przez inwestora zgodnie z warunkami zawartej umowy dzierżawy.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pozostałych przypadkach umowy dzierżawy zostały rozwiązane przed rozpoczęciem przez inwestorów robót budowlanych.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Ocenia się również, że formuła Bytomskiej Strefy Aktywności Gospodarczej nie jest już tak atrakcyjna dla inwestorów, jak miało to miejsce w chwili jej tworzenia, ze względu na szereg czynników zewnętrznych, wśród których należy wymienić: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 zmianę zasad możliwości </w:t>
      </w:r>
      <w:proofErr w:type="spellStart"/>
      <w:r>
        <w:rPr>
          <w:rFonts w:eastAsia="Times New Roman" w:cs="Times New Roman"/>
          <w:szCs w:val="20"/>
        </w:rPr>
        <w:t>bezprzetargowego</w:t>
      </w:r>
      <w:proofErr w:type="spellEnd"/>
      <w:r>
        <w:rPr>
          <w:rFonts w:eastAsia="Times New Roman" w:cs="Times New Roman"/>
          <w:szCs w:val="20"/>
        </w:rPr>
        <w:t xml:space="preserve"> zbycia nieruchomości na rzecz dotychczasowego dzierżawcy spowodowaną wprowadzeniem w 2016 r. zmiany przepisów art. 37 ust. 3 ustawy z dnia 21 sierpnia 1997 r. o gospodarce nieruchomościami, która w istotny sposób wydłużyła termin, po którym dzierżawca może ubiegać się o wykup nieruchomości. Powoduje to wzrost ryzyka inwestycyjnego dla zainteresowanych przedsiębiorców i ogranicza możliwości zaciągania kredytu inwestycyjnego w celu finansowania kolejnych etapów przedsięwzięcia,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pojawienie się nowych, alternatywnych ulg inwestycyjnych wprowadzonych ustawą z dnia 10 maja 2018 r. o wspieraniu nowych inwestycji, gdzie koszty dzierżawy mogą być kosztem kwalifikowanym podlegającym odliczeniu, a więc nie muszą być one tak istotnym obciążeniem dla inwestora, jak miało to miejsce wcześniej,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 utworzenie, w ramach Katowickiej Specjalnej Strefy Ekonomicznej, strefy gospodarczej przy ul. </w:t>
      </w:r>
      <w:proofErr w:type="spellStart"/>
      <w:r>
        <w:rPr>
          <w:rFonts w:eastAsia="Times New Roman" w:cs="Times New Roman"/>
          <w:szCs w:val="20"/>
        </w:rPr>
        <w:t>Hakuby</w:t>
      </w:r>
      <w:proofErr w:type="spellEnd"/>
      <w:r>
        <w:rPr>
          <w:rFonts w:eastAsia="Times New Roman" w:cs="Times New Roman"/>
          <w:szCs w:val="20"/>
        </w:rPr>
        <w:t xml:space="preserve">, gdzie w roku 2015 zakończono realizację projektu pełnego skomunikowania i uzbrojenia kompleksu terenów inwestycyjnych, które stanowiły alternatywną wobec BSAG ofertę dla potencjalnych inwestorów. Obecnie wszystkie tereny przy ul. </w:t>
      </w:r>
      <w:proofErr w:type="spellStart"/>
      <w:r>
        <w:rPr>
          <w:rFonts w:eastAsia="Times New Roman" w:cs="Times New Roman"/>
          <w:szCs w:val="20"/>
        </w:rPr>
        <w:t>Hakuby</w:t>
      </w:r>
      <w:proofErr w:type="spellEnd"/>
      <w:r>
        <w:rPr>
          <w:rFonts w:eastAsia="Times New Roman" w:cs="Times New Roman"/>
          <w:szCs w:val="20"/>
        </w:rPr>
        <w:t xml:space="preserve"> zostały sprzedane, jednak w trakcie przygotowania są dwa kolejne projekty: realizowany przez KSSE S.A., wspólnie z Gminą Bytom, „KSSENON” –  na terenach po dawnej KWK Centrum oraz realizowany przez Towarzystwo Finansowe Silesia Sp. z o.o. projekt „Silesia Bytom Park” – na terenach dawnej KWK Miechowice.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 ramach powyższych projektów na terenach pokopalnianych powstaną nowoczesne hale produkcyjno-usługowe, które będą oferowane inwestorom na zasadach dzierżawy lub sprzedaży. Obydwa projekty są obecnie w fazie przygotowywania dokumentacji technicznej.</w:t>
      </w:r>
    </w:p>
    <w:p w:rsidR="00216DD0" w:rsidRDefault="005C42BD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Biorąc powyższe pod uwagę, podjęcie uchwały jest uzasadnione. </w:t>
      </w:r>
    </w:p>
    <w:sectPr w:rsidR="00216DD0" w:rsidSect="00216DD0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DD0" w:rsidRDefault="00216DD0" w:rsidP="00216DD0">
      <w:r>
        <w:separator/>
      </w:r>
    </w:p>
  </w:endnote>
  <w:endnote w:type="continuationSeparator" w:id="0">
    <w:p w:rsidR="00216DD0" w:rsidRDefault="00216DD0" w:rsidP="00216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216DD0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216DD0" w:rsidRDefault="005C42BD">
          <w:pPr>
            <w:rPr>
              <w:sz w:val="18"/>
            </w:rPr>
          </w:pPr>
          <w:r>
            <w:rPr>
              <w:sz w:val="18"/>
            </w:rPr>
            <w:t>Id: B1B99B81-B644-4588-8E90-22EE704FB208.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216DD0" w:rsidRDefault="005C42BD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CA1C27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CA1C27">
            <w:rPr>
              <w:sz w:val="18"/>
            </w:rPr>
            <w:fldChar w:fldCharType="separate"/>
          </w:r>
          <w:r w:rsidR="00447956">
            <w:rPr>
              <w:noProof/>
              <w:sz w:val="18"/>
            </w:rPr>
            <w:t>1</w:t>
          </w:r>
          <w:r w:rsidR="00CA1C27">
            <w:rPr>
              <w:sz w:val="18"/>
            </w:rPr>
            <w:fldChar w:fldCharType="end"/>
          </w:r>
        </w:p>
      </w:tc>
    </w:tr>
  </w:tbl>
  <w:p w:rsidR="00216DD0" w:rsidRDefault="00216DD0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216DD0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216DD0" w:rsidRDefault="005C42BD">
          <w:pPr>
            <w:rPr>
              <w:sz w:val="18"/>
            </w:rPr>
          </w:pPr>
          <w:r>
            <w:rPr>
              <w:sz w:val="18"/>
            </w:rPr>
            <w:t>Id: B1B99B81-B644-4588-8E90-22EE704FB208.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216DD0" w:rsidRDefault="005C42BD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CA1C27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CA1C27">
            <w:rPr>
              <w:sz w:val="18"/>
            </w:rPr>
            <w:fldChar w:fldCharType="separate"/>
          </w:r>
          <w:r w:rsidR="00447956">
            <w:rPr>
              <w:noProof/>
              <w:sz w:val="18"/>
            </w:rPr>
            <w:t>4</w:t>
          </w:r>
          <w:r w:rsidR="00CA1C27">
            <w:rPr>
              <w:sz w:val="18"/>
            </w:rPr>
            <w:fldChar w:fldCharType="end"/>
          </w:r>
        </w:p>
      </w:tc>
    </w:tr>
  </w:tbl>
  <w:p w:rsidR="00216DD0" w:rsidRDefault="00216DD0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DD0" w:rsidRDefault="00216DD0" w:rsidP="00216DD0">
      <w:r>
        <w:separator/>
      </w:r>
    </w:p>
  </w:footnote>
  <w:footnote w:type="continuationSeparator" w:id="0">
    <w:p w:rsidR="00216DD0" w:rsidRDefault="00216DD0" w:rsidP="00216D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216DD0"/>
    <w:rsid w:val="00447956"/>
    <w:rsid w:val="005C42BD"/>
    <w:rsid w:val="00A77B3E"/>
    <w:rsid w:val="00CA1C27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16DD0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1127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8016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uchylająca uchwałę nr XV/201/13 Rady Miejskiej w^Bytomiu w^sprawie utworzenia Bytomskiej Strefy Aktywności Gospodarczej (BSAG)</dc:subject>
  <dc:creator>mbrzezina</dc:creator>
  <cp:lastModifiedBy>asteuer</cp:lastModifiedBy>
  <cp:revision>2</cp:revision>
  <dcterms:created xsi:type="dcterms:W3CDTF">2026-09-18T06:48:00Z</dcterms:created>
  <dcterms:modified xsi:type="dcterms:W3CDTF">2026-09-18T06:48:00Z</dcterms:modified>
  <cp:category>Akt prawny</cp:category>
</cp:coreProperties>
</file>