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XXVI/227/25</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15 grudnia 2025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Zespołu Przyrodniczo-Krajobrazowego „Żabie Doły w Bytomiu”</w:t>
      </w:r>
    </w:p>
    <w:p w:rsidR="00A77B3E">
      <w:pPr>
        <w:keepNext w:val="0"/>
        <w:keepLines/>
        <w:spacing w:before="120" w:after="120" w:line="276"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7</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1153)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związku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3a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3b oraz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1-9, 11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16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kwietnia 2004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ochronie przyrody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1478,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po uzgodnieniu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Regionalnym Dyrektorem Ochrony Środowiska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Katowicach uchwala się, co następuje:</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1. </w:t>
      </w:r>
      <w:r>
        <w:rPr>
          <w:rFonts w:ascii="Arial" w:eastAsia="Arial" w:hAnsi="Arial" w:cs="Arial"/>
          <w:sz w:val="24"/>
        </w:rPr>
        <w:t>1. </w:t>
      </w:r>
      <w:r>
        <w:rPr>
          <w:rFonts w:ascii="Arial" w:eastAsia="Arial" w:hAnsi="Arial" w:cs="Arial"/>
          <w:b w:val="0"/>
          <w:i w:val="0"/>
          <w:caps w:val="0"/>
          <w:strike w:val="0"/>
          <w:color w:val="auto"/>
          <w:sz w:val="24"/>
          <w:u w:val="none"/>
          <w:vertAlign w:val="baseline"/>
        </w:rPr>
        <w:t>Powierzchnia Zespołu Przyrodniczo-Krajobrazowego „Żabie Doły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 zwanego dalej „Zespołem”, obejmuje obszar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powierzchni 58,14 ha,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tym działki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numerach geodezyjnych, których wykaz określa załącznik nr 1</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Położenie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przebieg granicy Zespołu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postaci współrzędnych punktów załamania granic określa załącznik nr</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 do niniejszej uchwały.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Położenie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przebieg granicy Zespołu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formie graficznej określa załącznik nr</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3 do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niniejszej uchwały.</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2. </w:t>
      </w:r>
      <w:r>
        <w:rPr>
          <w:rFonts w:ascii="Arial" w:eastAsia="Arial" w:hAnsi="Arial" w:cs="Arial"/>
          <w:b w:val="0"/>
          <w:i w:val="0"/>
          <w:caps w:val="0"/>
          <w:strike w:val="0"/>
          <w:color w:val="000000"/>
          <w:sz w:val="24"/>
          <w:u w:val="none" w:color="000000"/>
          <w:vertAlign w:val="baseline"/>
        </w:rPr>
        <w:t>Celem Zespołu jest ochrona zróżnicowanego kompleksu ekosystemów wykształconych na obszarach poprzemysłowych, 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 szczególności obszarów wodno- błotnych stanowiących siedlisko ornitofauny oraz zachowanie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podniesienie wartości przyrodniczych, krajobrazowych, 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także funkcji korytarza ekologicznego.</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3. </w:t>
      </w:r>
      <w:r>
        <w:rPr>
          <w:rFonts w:ascii="Arial" w:eastAsia="Arial" w:hAnsi="Arial" w:cs="Arial"/>
          <w:b w:val="0"/>
          <w:i w:val="0"/>
          <w:caps w:val="0"/>
          <w:strike w:val="0"/>
          <w:color w:val="000000"/>
          <w:sz w:val="24"/>
          <w:u w:val="none" w:color="000000"/>
          <w:vertAlign w:val="baseline"/>
        </w:rPr>
        <w:t>W stosunku do Zespołu wprowadza się następujące zakazy: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 </w:t>
      </w:r>
      <w:r>
        <w:rPr>
          <w:rFonts w:ascii="Arial" w:eastAsia="Arial" w:hAnsi="Arial" w:cs="Arial"/>
          <w:b w:val="0"/>
          <w:i w:val="0"/>
          <w:caps w:val="0"/>
          <w:strike w:val="0"/>
          <w:color w:val="000000"/>
          <w:sz w:val="24"/>
          <w:u w:val="none" w:color="000000"/>
          <w:vertAlign w:val="baseline"/>
        </w:rPr>
        <w:t>niszczenia, uszkadzania lub przekształcania obszaru;</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2) </w:t>
      </w:r>
      <w:r>
        <w:rPr>
          <w:rFonts w:ascii="Arial" w:eastAsia="Arial" w:hAnsi="Arial" w:cs="Arial"/>
          <w:b w:val="0"/>
          <w:i w:val="0"/>
          <w:caps w:val="0"/>
          <w:strike w:val="0"/>
          <w:color w:val="000000"/>
          <w:sz w:val="24"/>
          <w:u w:val="none" w:color="000000"/>
          <w:vertAlign w:val="baseline"/>
        </w:rPr>
        <w:t>wykonywania prac ziemnych trwale zniekształcających rzeźbę terenu,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wyjątkiem prac związanych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zabezpieczeniem przeciwpowodziowym albo budową, odbudową, utrzymaniem, remontem lub naprawą urządzeń wodnych;</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3) </w:t>
      </w:r>
      <w:r>
        <w:rPr>
          <w:rFonts w:ascii="Arial" w:eastAsia="Arial" w:hAnsi="Arial" w:cs="Arial"/>
          <w:b w:val="0"/>
          <w:i w:val="0"/>
          <w:caps w:val="0"/>
          <w:strike w:val="0"/>
          <w:color w:val="000000"/>
          <w:sz w:val="24"/>
          <w:u w:val="none" w:color="000000"/>
          <w:vertAlign w:val="baseline"/>
        </w:rPr>
        <w:t>uszkadzania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zanieczyszczania gleby;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4) </w:t>
      </w:r>
      <w:r>
        <w:rPr>
          <w:rFonts w:ascii="Arial" w:eastAsia="Arial" w:hAnsi="Arial" w:cs="Arial"/>
          <w:b w:val="0"/>
          <w:i w:val="0"/>
          <w:caps w:val="0"/>
          <w:strike w:val="0"/>
          <w:color w:val="000000"/>
          <w:sz w:val="24"/>
          <w:u w:val="none" w:color="000000"/>
          <w:vertAlign w:val="baseline"/>
        </w:rPr>
        <w:t>dokonywania zmian stosunków wodnych, jeśli te zmiany nie</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służą ochronie przyrody albo</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racjonalnej gospodarce rolnej, leśnej, wodnej lub rybackiej;</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5) </w:t>
      </w:r>
      <w:r>
        <w:rPr>
          <w:rFonts w:ascii="Arial" w:eastAsia="Arial" w:hAnsi="Arial" w:cs="Arial"/>
          <w:b w:val="0"/>
          <w:i w:val="0"/>
          <w:caps w:val="0"/>
          <w:strike w:val="0"/>
          <w:color w:val="000000"/>
          <w:sz w:val="24"/>
          <w:u w:val="none" w:color="000000"/>
          <w:vertAlign w:val="baseline"/>
        </w:rPr>
        <w:t>likwidowania, zasypywania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przekształcania naturalnych zbiorników wodnych, starorzeczy oraz obszarów wodno-błotnych;</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6) </w:t>
      </w:r>
      <w:r>
        <w:rPr>
          <w:rFonts w:ascii="Arial" w:eastAsia="Arial" w:hAnsi="Arial" w:cs="Arial"/>
          <w:b w:val="0"/>
          <w:i w:val="0"/>
          <w:caps w:val="0"/>
          <w:strike w:val="0"/>
          <w:color w:val="000000"/>
          <w:sz w:val="24"/>
          <w:u w:val="none" w:color="000000"/>
          <w:vertAlign w:val="baseline"/>
        </w:rPr>
        <w:t>wylewania gnojowicy,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wyjątkiem nawożenia użytkowanych gruntów rolnych;</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7) </w:t>
      </w:r>
      <w:r>
        <w:rPr>
          <w:rFonts w:ascii="Arial" w:eastAsia="Arial" w:hAnsi="Arial" w:cs="Arial"/>
          <w:b w:val="0"/>
          <w:i w:val="0"/>
          <w:caps w:val="0"/>
          <w:strike w:val="0"/>
          <w:color w:val="000000"/>
          <w:sz w:val="24"/>
          <w:u w:val="none" w:color="000000"/>
          <w:vertAlign w:val="baseline"/>
        </w:rPr>
        <w:t>zmiany sposobu użytkowania ziemi;</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8) </w:t>
      </w:r>
      <w:r>
        <w:rPr>
          <w:rFonts w:ascii="Arial" w:eastAsia="Arial" w:hAnsi="Arial" w:cs="Arial"/>
          <w:b w:val="0"/>
          <w:i w:val="0"/>
          <w:caps w:val="0"/>
          <w:strike w:val="0"/>
          <w:color w:val="000000"/>
          <w:sz w:val="24"/>
          <w:u w:val="none" w:color="000000"/>
          <w:vertAlign w:val="baseline"/>
        </w:rPr>
        <w:t>wydobywania do celów gospodarczych skał,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tym torfu oraz skamieniałości,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tym kopalnych szczątków roślin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zwierząt, a</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także minerałów;</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9) </w:t>
      </w:r>
      <w:r>
        <w:rPr>
          <w:rFonts w:ascii="Arial" w:eastAsia="Arial" w:hAnsi="Arial" w:cs="Arial"/>
          <w:b w:val="0"/>
          <w:i w:val="0"/>
          <w:caps w:val="0"/>
          <w:strike w:val="0"/>
          <w:color w:val="000000"/>
          <w:sz w:val="24"/>
          <w:u w:val="none" w:color="000000"/>
          <w:vertAlign w:val="baseline"/>
        </w:rPr>
        <w:t>umyślnego zabijania dziko występujących zwierząt, niszczenia nor, legowisk zwierzęcych oraz tarlisk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złożonej ikry,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wyjątkiem amatorskiego połowu ryb oraz czynności związanych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racjonalną gospodarką rolną, leśną, rybacką i</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łowiecką;</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000000"/>
          <w:sz w:val="24"/>
          <w:u w:val="none" w:color="000000"/>
          <w:vertAlign w:val="baseline"/>
        </w:rPr>
      </w:pPr>
      <w:r>
        <w:rPr>
          <w:rFonts w:ascii="Arial" w:eastAsia="Arial" w:hAnsi="Arial" w:cs="Arial"/>
          <w:sz w:val="24"/>
        </w:rPr>
        <w:t>10) </w:t>
      </w:r>
      <w:r>
        <w:rPr>
          <w:rFonts w:ascii="Arial" w:eastAsia="Arial" w:hAnsi="Arial" w:cs="Arial"/>
          <w:b w:val="0"/>
          <w:i w:val="0"/>
          <w:caps w:val="0"/>
          <w:strike w:val="0"/>
          <w:color w:val="000000"/>
          <w:sz w:val="24"/>
          <w:u w:val="none" w:color="000000"/>
          <w:vertAlign w:val="baseline"/>
        </w:rPr>
        <w:t>umieszczania tablic reklamowych.</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4. </w:t>
      </w:r>
      <w:r>
        <w:rPr>
          <w:rFonts w:ascii="Arial" w:eastAsia="Arial" w:hAnsi="Arial" w:cs="Arial"/>
          <w:b w:val="0"/>
          <w:i w:val="0"/>
          <w:caps w:val="0"/>
          <w:strike w:val="0"/>
          <w:color w:val="000000"/>
          <w:sz w:val="24"/>
          <w:u w:val="none" w:color="000000"/>
          <w:vertAlign w:val="baseline"/>
        </w:rPr>
        <w:t>W ramach działalności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zakresu ochrony czynnej obszaru,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stosunku do Zespołu ustala się możliwość dokonywania zabiegów pielęgnacyjno-zabezpieczających zieleni, zgodnych z</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ogólnie przyjętymi przepisami prawa.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5. </w:t>
      </w:r>
      <w:r>
        <w:rPr>
          <w:rFonts w:ascii="Arial" w:eastAsia="Arial" w:hAnsi="Arial" w:cs="Arial"/>
          <w:b w:val="0"/>
          <w:i w:val="0"/>
          <w:caps w:val="0"/>
          <w:strike w:val="0"/>
          <w:color w:val="000000"/>
          <w:sz w:val="24"/>
          <w:u w:val="none" w:color="000000"/>
          <w:vertAlign w:val="baseline"/>
        </w:rPr>
        <w:t>Nadzór nad Zespołem sprawuje Prezydent Miasta Bytomia.</w:t>
      </w:r>
    </w:p>
    <w:p w:rsidR="00A77B3E">
      <w:pPr>
        <w:keepNext w:val="0"/>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6. </w:t>
      </w:r>
      <w:r>
        <w:rPr>
          <w:rFonts w:ascii="Arial" w:eastAsia="Arial" w:hAnsi="Arial" w:cs="Arial"/>
          <w:b w:val="0"/>
          <w:i w:val="0"/>
          <w:caps w:val="0"/>
          <w:strike w:val="0"/>
          <w:color w:val="000000"/>
          <w:sz w:val="24"/>
          <w:u w:val="none" w:color="000000"/>
          <w:vertAlign w:val="baseline"/>
        </w:rPr>
        <w:t>Wykonanie uchwały powierza się Prezydentowi Miasta.</w:t>
      </w:r>
    </w:p>
    <w:p w:rsidR="00A77B3E">
      <w:pPr>
        <w:keepNext/>
        <w:keepLines/>
        <w:spacing w:before="120" w:after="120" w:line="276" w:lineRule="auto"/>
        <w:ind w:left="0" w:right="0" w:firstLine="340"/>
        <w:jc w:val="left"/>
        <w:rPr>
          <w:rFonts w:ascii="Arial" w:eastAsia="Arial" w:hAnsi="Arial" w:cs="Arial"/>
          <w:b w:val="0"/>
          <w:i w:val="0"/>
          <w:caps w:val="0"/>
          <w:strike w:val="0"/>
          <w:color w:val="000000"/>
          <w:sz w:val="24"/>
          <w:u w:val="none" w:color="000000"/>
          <w:vertAlign w:val="baseline"/>
        </w:rPr>
      </w:pPr>
      <w:r>
        <w:rPr>
          <w:rFonts w:ascii="Arial" w:eastAsia="Arial" w:hAnsi="Arial" w:cs="Arial"/>
          <w:b/>
          <w:sz w:val="24"/>
        </w:rPr>
        <w:t>§ 7. </w:t>
      </w:r>
      <w:r>
        <w:rPr>
          <w:rFonts w:ascii="Arial" w:eastAsia="Arial" w:hAnsi="Arial" w:cs="Arial"/>
          <w:b w:val="0"/>
          <w:i w:val="0"/>
          <w:caps w:val="0"/>
          <w:strike w:val="0"/>
          <w:color w:val="000000"/>
          <w:sz w:val="24"/>
          <w:u w:val="none" w:color="000000"/>
          <w:vertAlign w:val="baseline"/>
        </w:rPr>
        <w:t>Uchwała wchodzi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życie po upływie 14</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dni od dnia ogłoszenia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Dzienniku Urzędowym Województwa Śląskiego.</w:t>
      </w:r>
    </w:p>
    <w:p w:rsidR="00A77B3E">
      <w:pPr>
        <w:keepNext/>
        <w:keepLines/>
        <w:spacing w:before="120" w:after="120" w:line="276" w:lineRule="auto"/>
        <w:ind w:left="0" w:right="0" w:firstLine="227"/>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 </w:t>
      </w:r>
    </w:p>
    <w:p w:rsidR="00A77B3E">
      <w:pPr>
        <w:keepNext/>
        <w:spacing w:before="0" w:after="0"/>
        <w:rPr>
          <w:rFonts w:ascii="Arial" w:eastAsia="Arial" w:hAnsi="Arial" w:cs="Arial"/>
          <w:b w:val="0"/>
          <w:i w:val="0"/>
          <w:caps w:val="0"/>
          <w:strike w:val="0"/>
          <w:color w:val="000000"/>
          <w:sz w:val="24"/>
          <w:u w:val="none" w:color="000000"/>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Wiceprzewodniczący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Andrzej Wężyk</w:t>
            </w:r>
          </w:p>
        </w:tc>
      </w:tr>
    </w:tbl>
    <w:p w:rsidR="00A77B3E">
      <w:pPr>
        <w:keepNext/>
        <w:spacing w:before="0" w:after="0"/>
        <w:rPr>
          <w:rFonts w:ascii="Arial" w:eastAsia="Arial" w:hAnsi="Arial" w:cs="Arial"/>
          <w:b w:val="0"/>
          <w:i w:val="0"/>
          <w:caps w:val="0"/>
          <w:strike w:val="0"/>
          <w:color w:val="000000"/>
          <w:sz w:val="24"/>
          <w:u w:val="none" w:color="000000"/>
          <w:vertAlign w:val="baseline"/>
        </w:rPr>
        <w:sectPr>
          <w:footerReference w:type="default" r:id="rId4"/>
          <w:endnotePr>
            <w:numFmt w:val="decimal"/>
          </w:endnotePr>
          <w:pgSz w:w="11906" w:h="16838"/>
          <w:pgMar w:top="1417" w:right="1020" w:bottom="992" w:left="1020" w:header="708" w:footer="708" w:gutter="0"/>
          <w:cols w:space="708"/>
          <w:docGrid w:linePitch="360"/>
        </w:sectPr>
      </w:pPr>
    </w:p>
    <w:p w:rsidR="00A77B3E">
      <w:pPr>
        <w:spacing w:before="120" w:after="120" w:line="276" w:lineRule="auto"/>
        <w:ind w:left="4530" w:right="0" w:firstLine="0"/>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Załącznik Nr</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1</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do uchwały Nr XXVI/227/25</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z dnia 15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grudnia 2025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325"/>
        <w:gridCol w:w="4295"/>
        <w:gridCol w:w="446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center"/>
            <w:hideMark/>
          </w:tcPr>
          <w:p w:rsidR="00A77B3E">
            <w:pPr>
              <w:spacing w:before="0" w:after="0"/>
              <w:jc w:val="center"/>
              <w:rPr>
                <w:rFonts w:ascii="Arial" w:eastAsia="Arial" w:hAnsi="Arial" w:cs="Arial"/>
                <w:b w:val="0"/>
                <w:i w:val="0"/>
                <w:caps w:val="0"/>
                <w:strike w:val="0"/>
                <w:color w:val="000000"/>
                <w:sz w:val="24"/>
                <w:u w:val="none" w:color="000000"/>
                <w:vertAlign w:val="baseline"/>
              </w:rPr>
            </w:pPr>
            <w:r>
              <w:t>Lp.</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center"/>
            <w:hideMark/>
          </w:tcPr>
          <w:p w:rsidR="00A77B3E">
            <w:pPr>
              <w:spacing w:before="0" w:after="0"/>
              <w:jc w:val="center"/>
              <w:rPr>
                <w:rFonts w:ascii="Arial" w:eastAsia="Arial" w:hAnsi="Arial" w:cs="Arial"/>
                <w:b w:val="0"/>
                <w:i w:val="0"/>
                <w:caps w:val="0"/>
                <w:strike w:val="0"/>
                <w:color w:val="000000"/>
                <w:sz w:val="24"/>
                <w:u w:val="none" w:color="000000"/>
                <w:vertAlign w:val="baseline"/>
              </w:rPr>
            </w:pPr>
            <w:r>
              <w:t>Numer działki</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center"/>
            <w:hideMark/>
          </w:tcPr>
          <w:p w:rsidR="00A77B3E">
            <w:pPr>
              <w:spacing w:before="0" w:after="0"/>
              <w:jc w:val="center"/>
              <w:rPr>
                <w:rFonts w:ascii="Arial" w:eastAsia="Arial" w:hAnsi="Arial" w:cs="Arial"/>
                <w:b w:val="0"/>
                <w:i w:val="0"/>
                <w:caps w:val="0"/>
                <w:strike w:val="0"/>
                <w:color w:val="000000"/>
                <w:sz w:val="24"/>
                <w:u w:val="none" w:color="000000"/>
                <w:vertAlign w:val="baseline"/>
              </w:rPr>
            </w:pPr>
            <w:r>
              <w:t>Obręb ewidencyjny</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1918/160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2263/196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2065/289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1760/160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593/264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2269/181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1926/180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1896/145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156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1725/152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2255/227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1869/264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2257/212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2256/227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1924/163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2270/180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2262/211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1708/158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1902/148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1910/148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1723/153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1906/152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2258/212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1873/252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155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594/265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1898/146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29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1748/180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1920/161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1917/160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2242/242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2654/149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1709/158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2251/228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1871/265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1914/146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1757/161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39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1711/157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1908/149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1712/157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2252/228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2266/195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2655/143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2260/211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1889/164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2259/212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1881/166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49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1719/149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1901/148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2249/241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2234/265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2085/266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2241/251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2245/242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2237/252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2265/196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2063/288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59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2246/241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2071/301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2233/264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2254/227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2232/264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2059/277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2061/278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1724/152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69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2067/295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3039/152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313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2264/196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2649/180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1655/162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1656/161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3036/150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1895/145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1929/181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79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1675/149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1897/146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2235/265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1923/163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3035/150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3042/152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1913/146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1662/144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2239/251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2650/168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89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3043/154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2238/252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1652/163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3037/151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3038/151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1909/148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1919/161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3041/152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1905/152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1893/144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99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2244/242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2261/211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2253/228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2247/241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2243/242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2267/195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2240/251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2236/252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2272/154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1715/168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109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1892/164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1912/147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1900/147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2069/296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1743/168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2651/146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653/166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1888/164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3165/154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1884/180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119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2271/180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1925/180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1927/180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1880/166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1885/180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1887/165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1886/165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1644/166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1672/148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1663/145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129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2268/181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1762/144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1754/162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1894/144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1922/162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1921/162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1931/195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1907/149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1706/159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1705/159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139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3040/152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1911/147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1899/147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1722/153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2058/277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2248/241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2250/228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2084/266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1891/164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1890/164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149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1916/168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479/12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168/10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477/8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208/17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209/17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40/17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202/3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203/3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511/12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159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512/12</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205/8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Rozbark</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628/186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746/209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625/185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474/184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624/184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949/209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623/185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1013/188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169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452/183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1011/191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1567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288/191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1016/189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287/209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1015/189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626/184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943/210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622/184</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179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627/185</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279/210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1616/206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275/207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1617/206</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1012/191</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185</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1014/188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186</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1621/208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187</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284/207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188</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1620/208</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189</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1619/207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190</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1618/207</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191</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1622/209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192</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1111/183</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193</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747/210</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Łagiewniki</w:t>
            </w:r>
          </w:p>
        </w:tc>
      </w:tr>
      <w:tr>
        <w:tblPrEx>
          <w:tblW w:w="5000" w:type="pct"/>
          <w:tblLayout w:type="fixed"/>
          <w:tblCellMar>
            <w:left w:w="108" w:type="dxa"/>
            <w:right w:w="108" w:type="dxa"/>
          </w:tblCellMar>
        </w:tblPrEx>
        <w:trPr>
          <w:trHeight w:val="300"/>
        </w:trPr>
        <w:tc>
          <w:tcPr>
            <w:tcW w:w="130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center"/>
              <w:rPr>
                <w:rFonts w:ascii="Arial" w:eastAsia="Arial" w:hAnsi="Arial" w:cs="Arial"/>
                <w:b w:val="0"/>
                <w:i w:val="0"/>
                <w:caps w:val="0"/>
                <w:strike w:val="0"/>
                <w:color w:val="000000"/>
                <w:sz w:val="24"/>
                <w:u w:val="none" w:color="000000"/>
                <w:vertAlign w:val="baseline"/>
              </w:rPr>
            </w:pPr>
            <w:r>
              <w:t>194</w:t>
            </w:r>
          </w:p>
        </w:tc>
        <w:tc>
          <w:tcPr>
            <w:tcW w:w="42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1623/209</w:t>
            </w:r>
          </w:p>
        </w:tc>
        <w:tc>
          <w:tcPr>
            <w:tcW w:w="4395"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spacing w:before="0" w:after="0"/>
              <w:jc w:val="left"/>
              <w:rPr>
                <w:rFonts w:ascii="Arial" w:eastAsia="Arial" w:hAnsi="Arial" w:cs="Arial"/>
                <w:b w:val="0"/>
                <w:i w:val="0"/>
                <w:caps w:val="0"/>
                <w:strike w:val="0"/>
                <w:color w:val="000000"/>
                <w:sz w:val="24"/>
                <w:u w:val="none" w:color="000000"/>
                <w:vertAlign w:val="baseline"/>
              </w:rPr>
            </w:pPr>
            <w:r>
              <w:t>Bytom</w:t>
            </w:r>
          </w:p>
        </w:tc>
      </w:tr>
    </w:tbl>
    <w:p w:rsidR="00A77B3E">
      <w:pPr>
        <w:spacing w:before="0" w:after="0"/>
        <w:rPr>
          <w:rFonts w:ascii="Arial" w:eastAsia="Arial" w:hAnsi="Arial" w:cs="Arial"/>
          <w:b w:val="0"/>
          <w:i w:val="0"/>
          <w:caps w:val="0"/>
          <w:strike w:val="0"/>
          <w:color w:val="000000"/>
          <w:sz w:val="24"/>
          <w:u w:val="none" w:color="000000"/>
          <w:vertAlign w:val="baseline"/>
        </w:rPr>
        <w:sectPr>
          <w:footerReference w:type="default" r:id="rId5"/>
          <w:endnotePr>
            <w:numFmt w:val="decimal"/>
          </w:endnotePr>
          <w:type w:val="nextPage"/>
          <w:pgSz w:w="11906" w:h="16838"/>
          <w:pgMar w:top="1417" w:right="1020" w:bottom="992" w:left="1020" w:header="708" w:footer="708" w:gutter="0"/>
          <w:cols w:space="708"/>
          <w:docGrid w:linePitch="360"/>
        </w:sectPr>
      </w:pPr>
    </w:p>
    <w:p w:rsidR="00A77B3E">
      <w:pPr>
        <w:spacing w:before="120" w:after="120" w:line="276" w:lineRule="auto"/>
        <w:ind w:left="4530" w:right="0" w:firstLine="0"/>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Załącznik Nr</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2</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do uchwały Nr XXVI/227/25</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z dnia 15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grudnia 2025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2070"/>
        <w:gridCol w:w="3930"/>
        <w:gridCol w:w="393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600"/>
        </w:trPr>
        <w:tc>
          <w:tcPr>
            <w:tcW w:w="9930" w:type="dxa"/>
            <w:gridSpan w:val="3"/>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Układ współrzędnych płaskich prostokątnych</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PL-2000 południk 18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Nr pkt</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X</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Y</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5578210,63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6567765,89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5578199,68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6567741,06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5578183,16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6567703,57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5578169,91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6567680,83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5578114,11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6567599,61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5578092,72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6567584,14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5578027,20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6567593,62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5577979,39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6567597,78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5577968,52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6567597,84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5577962,39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6567597,87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5577948,10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6567602,77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5577859,52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6567608,56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5577812,72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6567611,96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5577812,04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6567615,49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5577702,38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6567620,01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5577702,57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6567629,56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5577674,37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6567632,87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5577668,10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6567620,57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5577585,87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6567620,87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5577568,98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6567621,70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5577540,60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6567621,41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5577520,47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6567622,52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5577473,18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6567625,14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5577463,59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6567624,80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5577461,84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6567624,73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5577447,74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6567624,23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5577408,19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6567625,27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5577379,81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6567626,93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29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5577378,59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6567631,25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5577371,93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6567666,38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5577347,64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6567658,12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5577324,34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6567650,63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5577302,72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6567646,99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5577280,79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6567643,36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5577269,47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6567641,67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5577246,65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6567641,28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5577222,05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6567642,15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5577198,59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6567643,30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39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5577188,71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6567643,64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5577174,57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6567644,02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5577162,72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6567644,67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5577158,63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6567644,95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5577151,66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6567645,19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5577129,86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6567646,38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5577107,82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6567647,30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5577082,21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6567648,05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5577056,84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6567648,80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5577056,04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6567652,64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49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5577044,61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6567654,66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5577033,70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6567656,59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5577008,62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6567661,12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5576985,86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6567669,87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5576960,92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6567680,27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5576937,15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6567691,18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5576931,37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6567694,32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5576927,48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6567694,28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5576918,13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6567713,85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5576896,83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6567746,86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5576874,72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6567769,74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5576852,78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6567791,60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5576830,37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6567812,21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5576821,45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6567821,65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5576818,13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6567841,68</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5576813,68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6567851,41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5576810,14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6567861,10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5576807,71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6567873,90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5576801,47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6567879,27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5576799,64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6567880,45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5576827,96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6567922,34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5576872,44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6567937,82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5576905,47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6567944,03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5576950,75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6567947,07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5576977,84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6567948,51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5577002,94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6567950,26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5577046,30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6567950,21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5577095,40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6567949,72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5577109,62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6567950,47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5577122,63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6567951,47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79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5577134,86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6567952,41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5577174,64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6567954,01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5577260,08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6567958,76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5577302,02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6567955,40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5577350,95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6567955,71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5577579,71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6567957,51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5577714,62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6567960,31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5577715,79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6567965,03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5577719,16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6567967,96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5577746,65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6567995,94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89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5577770,87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6568005,32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5577771,72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6568002,72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5577797,99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6568013,96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5577806,35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6568018,94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5577816,92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6568025,41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5577837,21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6568038,41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5577856,43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6568050,72</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5577878,47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6568064,84</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5577911,40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6568093,10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5577945,49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6568122,23</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99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5577995,60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6568189,85</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5578071,67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6568254,69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5578157,07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6568274,69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102</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5578251,53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6568296,21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5578288,69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6568304,86</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104</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5578298,39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6568292,10</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5578301,80</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6568276,59</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106</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5578298,89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6568272,97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107</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5578338,05</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6567801,17</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108</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5578310,29</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6567793,81</w:t>
            </w:r>
          </w:p>
        </w:tc>
      </w:tr>
      <w:tr>
        <w:tblPrEx>
          <w:tblW w:w="5000" w:type="pct"/>
          <w:tblLayout w:type="fixed"/>
          <w:tblCellMar>
            <w:left w:w="108" w:type="dxa"/>
            <w:right w:w="108" w:type="dxa"/>
          </w:tblCellMar>
        </w:tblPrEx>
        <w:trPr>
          <w:trHeight w:val="300"/>
        </w:trPr>
        <w:tc>
          <w:tcPr>
            <w:tcW w:w="207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1</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5578210,63</w:t>
            </w:r>
          </w:p>
        </w:tc>
        <w:tc>
          <w:tcPr>
            <w:tcW w:w="3930" w:type="dxa"/>
            <w:tcBorders>
              <w:top w:val="single" w:sz="4" w:space="0" w:color="auto"/>
              <w:left w:val="single" w:sz="4" w:space="0" w:color="auto"/>
              <w:bottom w:val="single" w:sz="4" w:space="0" w:color="auto"/>
              <w:right w:val="single" w:sz="4" w:space="0" w:color="auto"/>
            </w:tcBorders>
            <w:noWrap w:val="0"/>
            <w:tcMar>
              <w:top w:w="0" w:type="dxa"/>
              <w:left w:w="108" w:type="dxa"/>
              <w:bottom w:w="0" w:type="dxa"/>
              <w:right w:w="108" w:type="dxa"/>
            </w:tcMar>
            <w:textDirection w:val="lrTb"/>
            <w:vAlign w:val="bottom"/>
            <w:hideMark/>
          </w:tcPr>
          <w:p w:rsidR="00A77B3E">
            <w:pPr>
              <w:jc w:val="center"/>
              <w:rPr>
                <w:rFonts w:ascii="Arial" w:eastAsia="Arial" w:hAnsi="Arial" w:cs="Arial"/>
                <w:b w:val="0"/>
                <w:i w:val="0"/>
                <w:caps w:val="0"/>
                <w:strike w:val="0"/>
                <w:color w:val="000000"/>
                <w:sz w:val="24"/>
                <w:u w:val="none" w:color="000000"/>
                <w:vertAlign w:val="baseline"/>
              </w:rPr>
            </w:pPr>
            <w:r>
              <w:t>6567765,89</w:t>
            </w:r>
          </w:p>
        </w:tc>
      </w:tr>
    </w:tbl>
    <w:p w:rsidR="00A77B3E">
      <w:pPr>
        <w:spacing w:before="0" w:after="0"/>
        <w:rPr>
          <w:rFonts w:ascii="Arial" w:eastAsia="Arial" w:hAnsi="Arial" w:cs="Arial"/>
          <w:b w:val="0"/>
          <w:i w:val="0"/>
          <w:caps w:val="0"/>
          <w:strike w:val="0"/>
          <w:color w:val="000000"/>
          <w:sz w:val="24"/>
          <w:u w:val="none" w:color="000000"/>
          <w:vertAlign w:val="baseline"/>
        </w:rPr>
        <w:sectPr>
          <w:footerReference w:type="default" r:id="rId6"/>
          <w:endnotePr>
            <w:numFmt w:val="decimal"/>
          </w:endnotePr>
          <w:type w:val="nextPage"/>
          <w:pgSz w:w="11906" w:h="16838"/>
          <w:pgMar w:top="1417" w:right="1020" w:bottom="992" w:left="1020" w:header="708" w:footer="708" w:gutter="0"/>
          <w:cols w:space="708"/>
          <w:docGrid w:linePitch="360"/>
        </w:sectPr>
      </w:pPr>
    </w:p>
    <w:p w:rsidR="00A77B3E">
      <w:pPr>
        <w:spacing w:before="120" w:after="120" w:line="276" w:lineRule="auto"/>
        <w:ind w:left="4530" w:right="0" w:firstLine="0"/>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t>Załącznik Nr</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3</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do uchwały Nr XXVI/227/25</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Rady Miejskiej w</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Bytomiu</w:t>
      </w:r>
      <w:r>
        <w:rPr>
          <w:rFonts w:ascii="Arial" w:eastAsia="Arial" w:hAnsi="Arial" w:cs="Arial"/>
          <w:b w:val="0"/>
          <w:i w:val="0"/>
          <w:caps w:val="0"/>
          <w:strike w:val="0"/>
          <w:color w:val="000000"/>
          <w:sz w:val="24"/>
          <w:u w:val="none" w:color="000000"/>
          <w:vertAlign w:val="baseline"/>
        </w:rPr>
        <w:br/>
      </w:r>
      <w:r>
        <w:rPr>
          <w:rFonts w:ascii="Arial" w:eastAsia="Arial" w:hAnsi="Arial" w:cs="Arial"/>
          <w:b w:val="0"/>
          <w:i w:val="0"/>
          <w:caps w:val="0"/>
          <w:strike w:val="0"/>
          <w:color w:val="000000"/>
          <w:sz w:val="24"/>
          <w:u w:val="none" w:color="000000"/>
          <w:vertAlign w:val="baseline"/>
        </w:rPr>
        <w:t>z dnia 15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grudnia 2025</w:t>
      </w:r>
      <w:r>
        <w:rPr>
          <w:rFonts w:ascii="Arial" w:eastAsia="Arial" w:hAnsi="Arial" w:cs="Arial"/>
          <w:b w:val="0"/>
          <w:i w:val="0"/>
          <w:caps w:val="0"/>
          <w:strike w:val="0"/>
          <w:color w:val="000000"/>
          <w:sz w:val="24"/>
          <w:u w:val="none" w:color="000000"/>
          <w:vertAlign w:val="baseline"/>
        </w:rPr>
        <w:t> </w:t>
      </w:r>
      <w:r>
        <w:rPr>
          <w:rFonts w:ascii="Arial" w:eastAsia="Arial" w:hAnsi="Arial" w:cs="Arial"/>
          <w:b w:val="0"/>
          <w:i w:val="0"/>
          <w:caps w:val="0"/>
          <w:strike w:val="0"/>
          <w:color w:val="000000"/>
          <w:sz w:val="24"/>
          <w:u w:val="none" w:color="000000"/>
          <w:vertAlign w:val="baseline"/>
        </w:rPr>
        <w:t>r.</w:t>
      </w:r>
    </w:p>
    <w:p w:rsidR="00A77B3E">
      <w:pPr>
        <w:keepNext w:val="0"/>
        <w:keepLines w:val="0"/>
        <w:spacing w:before="120" w:after="120" w:line="276" w:lineRule="auto"/>
        <w:ind w:left="0" w:right="0" w:firstLine="227"/>
        <w:jc w:val="left"/>
        <w:rPr>
          <w:rFonts w:ascii="Arial" w:eastAsia="Arial" w:hAnsi="Arial" w:cs="Arial"/>
          <w:b w:val="0"/>
          <w:i w:val="0"/>
          <w:caps w:val="0"/>
          <w:strike w:val="0"/>
          <w:color w:val="000000"/>
          <w:sz w:val="24"/>
          <w:u w:val="none" w:color="000000"/>
          <w:vertAlign w:val="baseline"/>
        </w:rPr>
      </w:pPr>
      <w:r>
        <w:rPr>
          <w:rFonts w:ascii="Arial" w:eastAsia="Arial" w:hAnsi="Arial" w:cs="Arial"/>
          <w:b w:val="0"/>
          <w:i w:val="0"/>
          <w:caps w:val="0"/>
          <w:strike w:val="0"/>
          <w:color w:val="000000"/>
          <w:sz w:val="24"/>
          <w:u w:val="none" w:color="000000"/>
          <w:vertAlign w:val="baseline"/>
        </w:rPr>
        <w:drawing>
          <wp:inline>
            <wp:extent cx="5649037" cy="7859222"/>
            <wp:docPr id="10000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7" r:link="rId8"/>
                    <a:stretch>
                      <a:fillRect/>
                    </a:stretch>
                  </pic:blipFill>
                  <pic:spPr>
                    <a:xfrm>
                      <a:off x="0" y="0"/>
                      <a:ext cx="5649037" cy="7859222"/>
                    </a:xfrm>
                    <a:prstGeom prst="rect">
                      <a:avLst/>
                    </a:prstGeom>
                  </pic:spPr>
                </pic:pic>
              </a:graphicData>
            </a:graphic>
          </wp:inline>
        </w:drawing>
      </w:r>
    </w:p>
    <w:p w:rsidR="00A77B3E">
      <w:pPr>
        <w:keepNext w:val="0"/>
        <w:keepLines w:val="0"/>
        <w:spacing w:before="120" w:after="120" w:line="276" w:lineRule="auto"/>
        <w:ind w:left="0" w:right="0" w:firstLine="227"/>
        <w:jc w:val="left"/>
        <w:rPr>
          <w:rFonts w:ascii="Arial" w:eastAsia="Arial" w:hAnsi="Arial" w:cs="Arial"/>
          <w:b w:val="0"/>
          <w:i w:val="0"/>
          <w:caps w:val="0"/>
          <w:strike w:val="0"/>
          <w:color w:val="000000"/>
          <w:sz w:val="24"/>
          <w:u w:val="none" w:color="000000"/>
          <w:vertAlign w:val="baseline"/>
        </w:rPr>
        <w:sectPr>
          <w:footerReference w:type="default" r:id="rId9"/>
          <w:endnotePr>
            <w:numFmt w:val="decimal"/>
          </w:endnotePr>
          <w:type w:val="nextPage"/>
          <w:pgSz w:w="11906" w:h="16838"/>
          <w:pgMar w:top="141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Wobec faktu związanego ze zmianami zapisów prawa na przełomie ostatnich lat, obszar Zespołu Przyrodniczo-Krajobrazowego „Żabie Doły”, który został powołany aktem prawnym w 1997 r., nie posiada aktualnie realnej ochrony prawnej, przez co jest narażony na degradację na skutek między innymi prac budowlanych oraz innych działań gospodarczych. W związku z powyższym, została przeprowadzona waloryzacja przyrodnicza, która wskazuje, że dalsze kierunki naturalnej sukcesji terenu (który był poddany silnej presji antropogenicznej), ale przede wszystkim trwałość zbiorowisk szuwarowych, zależy od przyszłej czynnej ochrony tego obszaru. Szczególnie istotnym elementem zachowania wyżej wymienionego terenu w formie i kształcie, który pozwoli na utrzymanie i rozwój ekosystemów zależnych od środowiska wodnego, jest gospodarka wodami opadowymi. Racjonalne gospodarowanie wodą będzie miało wpływ na ustabilizowanie poziomu wody na takim poziomie, aby nie dochodziło do znacznego wypłycania zbiorników oraz ich zarastania. Dlatego, aby skutecznie objąć ochroną obszar „Żabich Dołów”, zostaną wprowadzone działania polegające na przywróceniu użytkowania ekstensywnego obszarów łąkowych, ograniczeniu rozprzestrzeniania się gatunków inwazyjnych, przeciwdziałaniu działalności rozbiórkowej zwałowisk, co oddziałuje negatywnie na ekosystemy „Żabich Dołów”. Wprowadzenie zakazów w Zespole Przyrodniczo-Krajobrazowym „Żabie Doły” wynika z potrzeby ochrony unikalnych walorów przyrodniczych i krajobrazowych tego obszaru. Celem zakazów jest zapewnienie trwałości ekosystemów, zachowanie bioróżnorodności, a także ochrona integralności obszaru przed negatywnymi skutkami działalności człowieka. Z kolei różnice w zakazach między terenami dwóch miast, Chorzowa i Bytomia, mają na celu uwzględnienie specyficznych warunków terenowych, potrzeb ochrony przyrody oraz różnorodnych działalności lokalnych. Wprowadzenie odstępstw od zakazów dotyczących ochrony tego obszaru jest kluczowe dla efektywnego i zgodnego z prawem zarządzania terenami. Umożliwienie przeprowadzania zabiegów pielęgnacyjno-zabezpieczających zieleni ma na celu zachowanie bioróżnorodności. Dbałość o roślinność sprzyja jej adaptacji do zmieniających się warunków, co z kolei stabilizuje ekosystem. Działania te powinny być zgodne z przyjętymi standardami, co minimalizuje negatywny wpływ na środowisko i umożliwia monitorowanie jego stanu. Kluczowe jest również efektywne zarządzanie wodami opadowymi oraz ich oczyszczanie, co zmniejsza ryzyko zanieczyszczenia i erozji zbiorników. Na obszarze Zespołu Przyrodniczo-Krajobrazowego „Żabie Doły” nie istnieją obszary parków kulturowych. Uzyskanie pozytywnej opinii organów nadzorujących zapewnia dodatkowe zabezpieczenie dla tych procesów. Takie praktyki wspierają trwałość ekosystemów i wpisują się w strategię zrównoważonego rozwoju, umożliwiając harmonijne współistnienie ludzi i natury oraz ochronę cennych zasobów przyrodniczych. Projekt uchwały został uzgodniony z Regionalnym Dyrektorem Ochrony Środowiska w Katowicach.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Biorąc powyższe pod uwagę, podjęcie przez Radę Miejską w Bytomiu uchwały jest uzasadnione.</w:t>
      </w:r>
    </w:p>
    <w:sectPr>
      <w:footerReference w:type="default" r:id="rId10"/>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left"/>
            <w:rPr>
              <w:rFonts w:ascii="Arial" w:eastAsia="Arial" w:hAnsi="Arial" w:cs="Arial"/>
              <w:b w:val="0"/>
              <w:sz w:val="18"/>
            </w:rPr>
          </w:pPr>
          <w:r>
            <w:rPr>
              <w:rFonts w:ascii="Arial" w:eastAsia="Arial" w:hAnsi="Arial" w:cs="Arial"/>
              <w:b w:val="0"/>
              <w:sz w:val="18"/>
            </w:rPr>
            <w:t>Id: E78B3803-49B5-499C-AF58-DF220BC0F9C0. Podpisany</w:t>
          </w:r>
        </w:p>
      </w:tc>
      <w:tc>
        <w:tcPr>
          <w:tcW w:w="3289"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left"/>
            <w:rPr>
              <w:rFonts w:ascii="Arial" w:eastAsia="Arial" w:hAnsi="Arial" w:cs="Arial"/>
              <w:b w:val="0"/>
              <w:sz w:val="18"/>
            </w:rPr>
          </w:pPr>
          <w:r>
            <w:rPr>
              <w:rFonts w:ascii="Arial" w:eastAsia="Arial" w:hAnsi="Arial" w:cs="Arial"/>
              <w:b w:val="0"/>
              <w:sz w:val="18"/>
            </w:rPr>
            <w:t>Id: E78B3803-49B5-499C-AF58-DF220BC0F9C0. Podpisany</w:t>
          </w:r>
        </w:p>
      </w:tc>
      <w:tc>
        <w:tcPr>
          <w:tcW w:w="3289"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left"/>
            <w:rPr>
              <w:rFonts w:ascii="Arial" w:eastAsia="Arial" w:hAnsi="Arial" w:cs="Arial"/>
              <w:b w:val="0"/>
              <w:sz w:val="18"/>
            </w:rPr>
          </w:pPr>
          <w:r>
            <w:rPr>
              <w:rFonts w:ascii="Arial" w:eastAsia="Arial" w:hAnsi="Arial" w:cs="Arial"/>
              <w:b w:val="0"/>
              <w:sz w:val="18"/>
            </w:rPr>
            <w:t>Id: E78B3803-49B5-499C-AF58-DF220BC0F9C0. Podpisany</w:t>
          </w:r>
        </w:p>
      </w:tc>
      <w:tc>
        <w:tcPr>
          <w:tcW w:w="3289"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left"/>
            <w:rPr>
              <w:rFonts w:ascii="Arial" w:eastAsia="Arial" w:hAnsi="Arial" w:cs="Arial"/>
              <w:b w:val="0"/>
              <w:sz w:val="18"/>
            </w:rPr>
          </w:pPr>
          <w:r>
            <w:rPr>
              <w:rFonts w:ascii="Arial" w:eastAsia="Arial" w:hAnsi="Arial" w:cs="Arial"/>
              <w:b w:val="0"/>
              <w:sz w:val="18"/>
            </w:rPr>
            <w:t>Id: E78B3803-49B5-499C-AF58-DF220BC0F9C0. Podpisany</w:t>
          </w:r>
        </w:p>
      </w:tc>
      <w:tc>
        <w:tcPr>
          <w:tcW w:w="3289"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left"/>
            <w:rPr>
              <w:rFonts w:ascii="Arial" w:eastAsia="Arial" w:hAnsi="Arial" w:cs="Arial"/>
              <w:b w:val="0"/>
              <w:sz w:val="18"/>
            </w:rPr>
          </w:pPr>
          <w:r>
            <w:rPr>
              <w:rFonts w:ascii="Arial" w:eastAsia="Arial" w:hAnsi="Arial" w:cs="Arial"/>
              <w:b w:val="0"/>
              <w:sz w:val="18"/>
            </w:rPr>
            <w:t>Id: E78B3803-49B5-499C-AF58-DF220BC0F9C0. Podpisany</w:t>
          </w:r>
        </w:p>
      </w:tc>
      <w:tc>
        <w:tcPr>
          <w:tcW w:w="3289" w:type="dxa"/>
          <w:tcBorders>
            <w:top w:val="single" w:sz="4" w:space="0" w:color="auto"/>
            <w:left w:val="nil"/>
            <w:bottom w:val="nil"/>
            <w:right w:val="nil"/>
          </w:tcBorders>
          <w:noWrap w:val="0"/>
          <w:tcMar>
            <w:top w:w="100" w:type="dxa"/>
            <w:left w:w="108" w:type="dxa"/>
            <w:bottom w:w="0" w:type="dxa"/>
            <w:right w:w="108" w:type="dxa"/>
          </w:tcMar>
          <w:textDirection w:val="lrTb"/>
          <w:vAlign w:val="bottom"/>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image" Target="media/image1.png" /><Relationship Id="rId8" Type="http://schemas.openxmlformats.org/officeDocument/2006/relationships/image" Target="Zalacznik2BA24ED3-3DAD-402F-B230-7DFEB739B33A.png" TargetMode="Externa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XXVI/227/25 z dnia 15 grudnia 2025 r.</dc:title>
  <dc:subject>w sprawie Zespołu Przyrodniczo-Krajobrazowego „Żabie Doły w^Bytomiu”</dc:subject>
  <dc:creator>asteuer</dc:creator>
  <cp:lastModifiedBy>asteuer</cp:lastModifiedBy>
  <cp:revision>1</cp:revision>
  <dcterms:created xsi:type="dcterms:W3CDTF">2025-12-17T13:07:53Z</dcterms:created>
  <dcterms:modified xsi:type="dcterms:W3CDTF">2025-12-17T13:07:53Z</dcterms:modified>
  <cp:category>Akt prawny</cp:category>
</cp:coreProperties>
</file>