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2.4.0 -->
  <w:body>
    <w:p w:rsidR="00A77B3E">
      <w:pPr>
        <w:spacing w:line="240" w:lineRule="auto"/>
        <w:ind w:left="0"/>
        <w:jc w:val="center"/>
        <w:rPr>
          <w:rFonts w:ascii="Arial" w:eastAsia="Arial" w:hAnsi="Arial" w:cs="Arial"/>
          <w:b/>
          <w:caps/>
          <w:sz w:val="24"/>
        </w:rPr>
      </w:pPr>
      <w:r>
        <w:rPr>
          <w:rFonts w:ascii="Arial" w:eastAsia="Arial" w:hAnsi="Arial" w:cs="Arial"/>
          <w:b/>
          <w:caps/>
          <w:sz w:val="24"/>
        </w:rPr>
        <w:t>Uchwała</w:t>
      </w:r>
      <w:r>
        <w:rPr>
          <w:rFonts w:ascii="Arial" w:eastAsia="Arial" w:hAnsi="Arial" w:cs="Arial"/>
          <w:b/>
          <w:caps/>
          <w:sz w:val="24"/>
        </w:rPr>
        <w:t xml:space="preserve"> Nr XXVI/223/25</w:t>
      </w:r>
      <w:r>
        <w:rPr>
          <w:rFonts w:ascii="Arial" w:eastAsia="Arial" w:hAnsi="Arial" w:cs="Arial"/>
          <w:b/>
          <w:caps/>
          <w:sz w:val="24"/>
        </w:rPr>
        <w:br/>
      </w:r>
      <w:r>
        <w:rPr>
          <w:rFonts w:ascii="Arial" w:eastAsia="Arial" w:hAnsi="Arial" w:cs="Arial"/>
          <w:b/>
          <w:caps/>
          <w:sz w:val="24"/>
        </w:rPr>
        <w:t>Rady Miejskiej w Bytomiu</w:t>
      </w:r>
    </w:p>
    <w:p w:rsidR="00A77B3E">
      <w:pPr>
        <w:spacing w:before="280" w:after="280" w:line="240" w:lineRule="auto"/>
        <w:ind w:left="0"/>
        <w:jc w:val="center"/>
        <w:rPr>
          <w:rFonts w:ascii="Arial" w:eastAsia="Arial" w:hAnsi="Arial" w:cs="Arial"/>
          <w:b/>
          <w:caps/>
          <w:sz w:val="24"/>
        </w:rPr>
      </w:pPr>
      <w:r>
        <w:rPr>
          <w:rFonts w:ascii="Arial" w:eastAsia="Arial" w:hAnsi="Arial" w:cs="Arial"/>
          <w:b w:val="0"/>
          <w:caps w:val="0"/>
          <w:sz w:val="24"/>
        </w:rPr>
        <w:t>z dnia 15 grudnia 2025 r.</w:t>
      </w:r>
    </w:p>
    <w:p w:rsidR="00A77B3E">
      <w:pPr>
        <w:keepNext/>
        <w:spacing w:before="0" w:after="480" w:line="240" w:lineRule="auto"/>
        <w:ind w:left="0" w:right="0" w:firstLine="0"/>
        <w:jc w:val="center"/>
        <w:rPr>
          <w:rFonts w:ascii="Arial" w:eastAsia="Arial" w:hAnsi="Arial" w:cs="Arial"/>
          <w:b w:val="0"/>
          <w:caps w:val="0"/>
          <w:strike w:val="0"/>
          <w:color w:val="auto"/>
          <w:sz w:val="24"/>
          <w:u w:val="none"/>
        </w:rPr>
      </w:pPr>
      <w:r>
        <w:rPr>
          <w:rFonts w:ascii="Arial" w:eastAsia="Arial" w:hAnsi="Arial" w:cs="Arial"/>
          <w:b/>
          <w:caps w:val="0"/>
          <w:sz w:val="24"/>
        </w:rPr>
        <w:t>w sprawie wieloletniej prognozy finansowej miasta Bytomia na lata 2026-2046</w:t>
      </w:r>
    </w:p>
    <w:p w:rsidR="00A77B3E">
      <w:pPr>
        <w:keepNext w:val="0"/>
        <w:keepLines/>
        <w:spacing w:before="120" w:after="120" w:line="240" w:lineRule="auto"/>
        <w:ind w:left="0" w:right="0" w:firstLine="227"/>
        <w:jc w:val="left"/>
        <w:rPr>
          <w:rFonts w:ascii="Arial" w:eastAsia="Arial" w:hAnsi="Arial" w:cs="Arial"/>
          <w:b w:val="0"/>
          <w:caps w:val="0"/>
          <w:strike w:val="0"/>
          <w:color w:val="auto"/>
          <w:sz w:val="24"/>
          <w:u w:val="none"/>
        </w:rPr>
      </w:pPr>
      <w:r>
        <w:rPr>
          <w:rFonts w:ascii="Arial" w:eastAsia="Arial" w:hAnsi="Arial" w:cs="Arial"/>
          <w:b w:val="0"/>
          <w:caps w:val="0"/>
          <w:strike w:val="0"/>
          <w:color w:val="auto"/>
          <w:sz w:val="24"/>
          <w:u w:val="none"/>
        </w:rPr>
        <w:t>Na podstawie art.</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18</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ust.</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2</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pkt</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15</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ustawy 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dnia 8</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marca 1990</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r. o</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samorządzie gminnym (Dz.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U. 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2025</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r. poz.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1153), art.</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12</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pkt</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11</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w</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związku 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art.</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92</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ustawy 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dnia 5</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czerwca 1998</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r. o</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samorządzie powiatowym (Dz.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U. 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2025</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r. poz.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1684) oraz art.</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226, art.</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227, art.</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228, art.</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229, art.</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230</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ust.</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6, art.</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258</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ust.</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1</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pkt</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3</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ustawy 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dnia 27</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sierpnia 2009</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roku o</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finansach publicznych (Dz.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U. 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2025</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r. poz 1483) i</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rozporządzenia Ministra Finansów 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dnia 10</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stycznia 2013</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r. w</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sprawie wieloletniej prognozy finansowej jednostki samorządu terytorialnego (Dz.U. 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2021</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r. poz.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83) uchwala się, co następuje:</w:t>
      </w:r>
    </w:p>
    <w:p w:rsidR="00A77B3E">
      <w:pPr>
        <w:keepNext w:val="0"/>
        <w:keepLines/>
        <w:spacing w:before="120" w:after="120" w:line="240" w:lineRule="auto"/>
        <w:ind w:left="0" w:right="0" w:firstLine="340"/>
        <w:jc w:val="left"/>
        <w:rPr>
          <w:rFonts w:ascii="Arial" w:eastAsia="Arial" w:hAnsi="Arial" w:cs="Arial"/>
          <w:b w:val="0"/>
          <w:caps w:val="0"/>
          <w:strike w:val="0"/>
          <w:color w:val="auto"/>
          <w:sz w:val="24"/>
          <w:u w:val="none"/>
        </w:rPr>
      </w:pPr>
      <w:r>
        <w:rPr>
          <w:rFonts w:ascii="Arial" w:eastAsia="Arial" w:hAnsi="Arial" w:cs="Arial"/>
          <w:b/>
          <w:sz w:val="24"/>
        </w:rPr>
        <w:t>§ 1. </w:t>
      </w:r>
      <w:r>
        <w:rPr>
          <w:rFonts w:ascii="Arial" w:eastAsia="Arial" w:hAnsi="Arial" w:cs="Arial"/>
          <w:b w:val="0"/>
          <w:caps w:val="0"/>
          <w:strike w:val="0"/>
          <w:color w:val="auto"/>
          <w:sz w:val="24"/>
          <w:u w:val="none"/>
        </w:rPr>
        <w:t>Uchwala się wieloletnią prognozę finansową miasta Bytomia na lata 2026-2046 określającą:</w:t>
      </w:r>
    </w:p>
    <w:p w:rsidR="00A77B3E">
      <w:pPr>
        <w:keepNext w:val="0"/>
        <w:keepLines w:val="0"/>
        <w:spacing w:before="120" w:after="120" w:line="240" w:lineRule="auto"/>
        <w:ind w:left="340" w:right="0" w:hanging="227"/>
        <w:jc w:val="left"/>
        <w:rPr>
          <w:rFonts w:ascii="Arial" w:eastAsia="Arial" w:hAnsi="Arial" w:cs="Arial"/>
          <w:b w:val="0"/>
          <w:caps w:val="0"/>
          <w:strike w:val="0"/>
          <w:color w:val="auto"/>
          <w:sz w:val="24"/>
          <w:u w:val="none"/>
        </w:rPr>
      </w:pPr>
      <w:r>
        <w:rPr>
          <w:rFonts w:ascii="Arial" w:eastAsia="Arial" w:hAnsi="Arial" w:cs="Arial"/>
          <w:sz w:val="24"/>
        </w:rPr>
        <w:t>1) </w:t>
      </w:r>
      <w:r>
        <w:rPr>
          <w:rFonts w:ascii="Arial" w:eastAsia="Arial" w:hAnsi="Arial" w:cs="Arial"/>
          <w:b w:val="0"/>
          <w:caps w:val="0"/>
          <w:strike w:val="0"/>
          <w:color w:val="auto"/>
          <w:sz w:val="24"/>
          <w:u w:val="none"/>
        </w:rPr>
        <w:t>dochody bieżące oraz wydatki bieżące budżetu miasta, w</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tym na obsługę długu, gwarancje i</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poręczenia;</w:t>
      </w:r>
    </w:p>
    <w:p w:rsidR="00A77B3E">
      <w:pPr>
        <w:keepNext w:val="0"/>
        <w:keepLines w:val="0"/>
        <w:spacing w:before="120" w:after="120" w:line="240" w:lineRule="auto"/>
        <w:ind w:left="340" w:right="0" w:hanging="227"/>
        <w:jc w:val="left"/>
        <w:rPr>
          <w:rFonts w:ascii="Arial" w:eastAsia="Arial" w:hAnsi="Arial" w:cs="Arial"/>
          <w:b w:val="0"/>
          <w:caps w:val="0"/>
          <w:strike w:val="0"/>
          <w:color w:val="auto"/>
          <w:sz w:val="24"/>
          <w:u w:val="none"/>
        </w:rPr>
      </w:pPr>
      <w:r>
        <w:rPr>
          <w:rFonts w:ascii="Arial" w:eastAsia="Arial" w:hAnsi="Arial" w:cs="Arial"/>
          <w:sz w:val="24"/>
        </w:rPr>
        <w:t>2) </w:t>
      </w:r>
      <w:r>
        <w:rPr>
          <w:rFonts w:ascii="Arial" w:eastAsia="Arial" w:hAnsi="Arial" w:cs="Arial"/>
          <w:b w:val="0"/>
          <w:caps w:val="0"/>
          <w:strike w:val="0"/>
          <w:color w:val="auto"/>
          <w:sz w:val="24"/>
          <w:u w:val="none"/>
        </w:rPr>
        <w:t>dochody majątkowe, w</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tym dochody ze sprzedaży majątku oraz wydatki majątkowe budżetu miasta;</w:t>
      </w:r>
    </w:p>
    <w:p w:rsidR="00A77B3E">
      <w:pPr>
        <w:keepNext w:val="0"/>
        <w:keepLines w:val="0"/>
        <w:spacing w:before="120" w:after="120" w:line="240" w:lineRule="auto"/>
        <w:ind w:left="340" w:right="0" w:hanging="227"/>
        <w:jc w:val="left"/>
        <w:rPr>
          <w:rFonts w:ascii="Arial" w:eastAsia="Arial" w:hAnsi="Arial" w:cs="Arial"/>
          <w:b w:val="0"/>
          <w:caps w:val="0"/>
          <w:strike w:val="0"/>
          <w:color w:val="auto"/>
          <w:sz w:val="24"/>
          <w:u w:val="none"/>
        </w:rPr>
      </w:pPr>
      <w:r>
        <w:rPr>
          <w:rFonts w:ascii="Arial" w:eastAsia="Arial" w:hAnsi="Arial" w:cs="Arial"/>
          <w:sz w:val="24"/>
        </w:rPr>
        <w:t>3) </w:t>
      </w:r>
      <w:r>
        <w:rPr>
          <w:rFonts w:ascii="Arial" w:eastAsia="Arial" w:hAnsi="Arial" w:cs="Arial"/>
          <w:b w:val="0"/>
          <w:caps w:val="0"/>
          <w:strike w:val="0"/>
          <w:color w:val="auto"/>
          <w:sz w:val="24"/>
          <w:u w:val="none"/>
        </w:rPr>
        <w:t>wynik budżetu miasta;</w:t>
      </w:r>
    </w:p>
    <w:p w:rsidR="00A77B3E">
      <w:pPr>
        <w:keepNext w:val="0"/>
        <w:keepLines w:val="0"/>
        <w:spacing w:before="120" w:after="120" w:line="240" w:lineRule="auto"/>
        <w:ind w:left="340" w:right="0" w:hanging="227"/>
        <w:jc w:val="left"/>
        <w:rPr>
          <w:rFonts w:ascii="Arial" w:eastAsia="Arial" w:hAnsi="Arial" w:cs="Arial"/>
          <w:b w:val="0"/>
          <w:caps w:val="0"/>
          <w:strike w:val="0"/>
          <w:color w:val="auto"/>
          <w:sz w:val="24"/>
          <w:u w:val="none"/>
        </w:rPr>
      </w:pPr>
      <w:r>
        <w:rPr>
          <w:rFonts w:ascii="Arial" w:eastAsia="Arial" w:hAnsi="Arial" w:cs="Arial"/>
          <w:sz w:val="24"/>
        </w:rPr>
        <w:t>4) </w:t>
      </w:r>
      <w:r>
        <w:rPr>
          <w:rFonts w:ascii="Arial" w:eastAsia="Arial" w:hAnsi="Arial" w:cs="Arial"/>
          <w:b w:val="0"/>
          <w:caps w:val="0"/>
          <w:strike w:val="0"/>
          <w:color w:val="auto"/>
          <w:sz w:val="24"/>
          <w:u w:val="none"/>
        </w:rPr>
        <w:t>sposób sfinansowania deficytu;</w:t>
      </w:r>
    </w:p>
    <w:p w:rsidR="00A77B3E">
      <w:pPr>
        <w:keepNext w:val="0"/>
        <w:keepLines w:val="0"/>
        <w:spacing w:before="120" w:after="120" w:line="240" w:lineRule="auto"/>
        <w:ind w:left="340" w:right="0" w:hanging="227"/>
        <w:jc w:val="left"/>
        <w:rPr>
          <w:rFonts w:ascii="Arial" w:eastAsia="Arial" w:hAnsi="Arial" w:cs="Arial"/>
          <w:b w:val="0"/>
          <w:caps w:val="0"/>
          <w:strike w:val="0"/>
          <w:color w:val="auto"/>
          <w:sz w:val="24"/>
          <w:u w:val="none"/>
        </w:rPr>
      </w:pPr>
      <w:r>
        <w:rPr>
          <w:rFonts w:ascii="Arial" w:eastAsia="Arial" w:hAnsi="Arial" w:cs="Arial"/>
          <w:sz w:val="24"/>
        </w:rPr>
        <w:t>5) </w:t>
      </w:r>
      <w:r>
        <w:rPr>
          <w:rFonts w:ascii="Arial" w:eastAsia="Arial" w:hAnsi="Arial" w:cs="Arial"/>
          <w:b w:val="0"/>
          <w:caps w:val="0"/>
          <w:strike w:val="0"/>
          <w:color w:val="auto"/>
          <w:sz w:val="24"/>
          <w:u w:val="none"/>
        </w:rPr>
        <w:t>przychody i</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rozchody budżetu miasta, 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uwzględnieniem długu zaciągniętego oraz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planowanego do zaciągnięcia;</w:t>
      </w:r>
    </w:p>
    <w:p w:rsidR="00A77B3E">
      <w:pPr>
        <w:keepNext w:val="0"/>
        <w:keepLines w:val="0"/>
        <w:spacing w:before="120" w:after="120" w:line="240" w:lineRule="auto"/>
        <w:ind w:left="340" w:right="0" w:hanging="227"/>
        <w:jc w:val="left"/>
        <w:rPr>
          <w:rFonts w:ascii="Arial" w:eastAsia="Arial" w:hAnsi="Arial" w:cs="Arial"/>
          <w:b w:val="0"/>
          <w:caps w:val="0"/>
          <w:strike w:val="0"/>
          <w:color w:val="auto"/>
          <w:sz w:val="24"/>
          <w:u w:val="none"/>
        </w:rPr>
      </w:pPr>
      <w:r>
        <w:rPr>
          <w:rFonts w:ascii="Arial" w:eastAsia="Arial" w:hAnsi="Arial" w:cs="Arial"/>
          <w:sz w:val="24"/>
        </w:rPr>
        <w:t>6) </w:t>
      </w:r>
      <w:r>
        <w:rPr>
          <w:rFonts w:ascii="Arial" w:eastAsia="Arial" w:hAnsi="Arial" w:cs="Arial"/>
          <w:b w:val="0"/>
          <w:caps w:val="0"/>
          <w:strike w:val="0"/>
          <w:color w:val="auto"/>
          <w:sz w:val="24"/>
          <w:u w:val="none"/>
        </w:rPr>
        <w:t>kwotę długu miasta, w</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tym relacje, o</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których mowa w</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art.</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242</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i</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243 uofp oraz sposób sfinansowania spłaty długu;</w:t>
      </w:r>
    </w:p>
    <w:p w:rsidR="00A77B3E">
      <w:pPr>
        <w:keepNext w:val="0"/>
        <w:keepLines w:val="0"/>
        <w:spacing w:before="120" w:after="120" w:line="240" w:lineRule="auto"/>
        <w:ind w:left="340" w:right="0" w:hanging="227"/>
        <w:jc w:val="left"/>
        <w:rPr>
          <w:rFonts w:ascii="Arial" w:eastAsia="Arial" w:hAnsi="Arial" w:cs="Arial"/>
          <w:b w:val="0"/>
          <w:caps w:val="0"/>
          <w:strike w:val="0"/>
          <w:color w:val="auto"/>
          <w:sz w:val="24"/>
          <w:u w:val="none"/>
        </w:rPr>
      </w:pPr>
      <w:r>
        <w:rPr>
          <w:rFonts w:ascii="Arial" w:eastAsia="Arial" w:hAnsi="Arial" w:cs="Arial"/>
          <w:sz w:val="24"/>
        </w:rPr>
        <w:t>7) </w:t>
      </w:r>
      <w:r>
        <w:rPr>
          <w:rFonts w:ascii="Arial" w:eastAsia="Arial" w:hAnsi="Arial" w:cs="Arial"/>
          <w:b w:val="0"/>
          <w:caps w:val="0"/>
          <w:strike w:val="0"/>
          <w:color w:val="auto"/>
          <w:sz w:val="24"/>
          <w:u w:val="none"/>
        </w:rPr>
        <w:t>kwoty wydatków bieżących i</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majątkowych wynikających 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limitów wydatków na</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planowane i</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realizowane przedsięwzięcia, o</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których mowa w</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2</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niniejszej uchwały,</w:t>
      </w:r>
    </w:p>
    <w:p w:rsidR="00A77B3E">
      <w:pPr>
        <w:keepNext w:val="0"/>
        <w:keepLines/>
        <w:spacing w:before="120" w:after="120" w:line="240" w:lineRule="auto"/>
        <w:ind w:left="567" w:right="0" w:hanging="113"/>
        <w:jc w:val="left"/>
        <w:rPr>
          <w:rFonts w:ascii="Arial" w:eastAsia="Arial" w:hAnsi="Arial" w:cs="Arial"/>
          <w:b w:val="0"/>
          <w:caps w:val="0"/>
          <w:strike w:val="0"/>
          <w:color w:val="auto"/>
          <w:sz w:val="24"/>
          <w:u w:val="none"/>
        </w:rPr>
      </w:pPr>
      <w:r>
        <w:t>- </w:t>
      </w:r>
      <w:r>
        <w:rPr>
          <w:rFonts w:ascii="Arial" w:eastAsia="Arial" w:hAnsi="Arial" w:cs="Arial"/>
          <w:b w:val="0"/>
          <w:caps w:val="0"/>
          <w:strike w:val="0"/>
          <w:color w:val="auto"/>
          <w:sz w:val="24"/>
          <w:u w:val="none"/>
        </w:rPr>
        <w:t>zgodnie 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załącznikiem nr 1</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do niniejszej uchwały.</w:t>
      </w:r>
    </w:p>
    <w:p w:rsidR="00A77B3E">
      <w:pPr>
        <w:keepNext w:val="0"/>
        <w:keepLines/>
        <w:spacing w:before="120" w:after="120" w:line="240" w:lineRule="auto"/>
        <w:ind w:left="0" w:right="0" w:firstLine="340"/>
        <w:jc w:val="left"/>
        <w:rPr>
          <w:rFonts w:ascii="Arial" w:eastAsia="Arial" w:hAnsi="Arial" w:cs="Arial"/>
          <w:b w:val="0"/>
          <w:caps w:val="0"/>
          <w:strike w:val="0"/>
          <w:color w:val="auto"/>
          <w:sz w:val="24"/>
          <w:u w:val="none"/>
        </w:rPr>
      </w:pPr>
      <w:r>
        <w:rPr>
          <w:rFonts w:ascii="Arial" w:eastAsia="Arial" w:hAnsi="Arial" w:cs="Arial"/>
          <w:b/>
          <w:sz w:val="24"/>
        </w:rPr>
        <w:t>§ 2. </w:t>
      </w:r>
      <w:r>
        <w:rPr>
          <w:rFonts w:ascii="Arial" w:eastAsia="Arial" w:hAnsi="Arial" w:cs="Arial"/>
          <w:b w:val="0"/>
          <w:caps w:val="0"/>
          <w:strike w:val="0"/>
          <w:color w:val="auto"/>
          <w:sz w:val="24"/>
          <w:u w:val="none"/>
        </w:rPr>
        <w:t>Ustala się przedsięwzięcia wieloletnie realizowane przez miasto, zgodnie 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wykazem stanowiącym załącznik nr 2</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do niniejszej uchwały.</w:t>
      </w:r>
    </w:p>
    <w:p w:rsidR="00A77B3E">
      <w:pPr>
        <w:keepNext w:val="0"/>
        <w:keepLines/>
        <w:spacing w:before="120" w:after="120" w:line="240" w:lineRule="auto"/>
        <w:ind w:left="0" w:right="0" w:firstLine="340"/>
        <w:jc w:val="left"/>
        <w:rPr>
          <w:rFonts w:ascii="Arial" w:eastAsia="Arial" w:hAnsi="Arial" w:cs="Arial"/>
          <w:b w:val="0"/>
          <w:caps w:val="0"/>
          <w:strike w:val="0"/>
          <w:color w:val="auto"/>
          <w:sz w:val="24"/>
          <w:u w:val="none"/>
        </w:rPr>
      </w:pPr>
      <w:r>
        <w:rPr>
          <w:rFonts w:ascii="Arial" w:eastAsia="Arial" w:hAnsi="Arial" w:cs="Arial"/>
          <w:b/>
          <w:sz w:val="24"/>
        </w:rPr>
        <w:t>§ 3. </w:t>
      </w:r>
      <w:r>
        <w:rPr>
          <w:rFonts w:ascii="Arial" w:eastAsia="Arial" w:hAnsi="Arial" w:cs="Arial"/>
          <w:b w:val="0"/>
          <w:caps w:val="0"/>
          <w:strike w:val="0"/>
          <w:color w:val="auto"/>
          <w:sz w:val="24"/>
          <w:u w:val="none"/>
        </w:rPr>
        <w:t>Do wieloletniej prognozy finansowej dołącza się objaśnienia przyjętych wartości.</w:t>
      </w:r>
    </w:p>
    <w:p w:rsidR="00A77B3E">
      <w:pPr>
        <w:keepNext w:val="0"/>
        <w:keepLines/>
        <w:spacing w:before="120" w:after="120" w:line="240" w:lineRule="auto"/>
        <w:ind w:left="0" w:right="0" w:firstLine="340"/>
        <w:jc w:val="left"/>
        <w:rPr>
          <w:rFonts w:ascii="Arial" w:eastAsia="Arial" w:hAnsi="Arial" w:cs="Arial"/>
          <w:b w:val="0"/>
          <w:i w:val="0"/>
          <w:caps w:val="0"/>
          <w:strike w:val="0"/>
          <w:color w:val="000000"/>
          <w:sz w:val="24"/>
          <w:u w:val="none" w:color="000000"/>
          <w:vertAlign w:val="baseline"/>
        </w:rPr>
      </w:pPr>
      <w:r>
        <w:rPr>
          <w:rFonts w:ascii="Arial" w:eastAsia="Arial" w:hAnsi="Arial" w:cs="Arial"/>
          <w:b/>
          <w:sz w:val="24"/>
        </w:rPr>
        <w:t>§ 4. </w:t>
      </w:r>
      <w:r>
        <w:rPr>
          <w:rFonts w:ascii="Arial" w:eastAsia="Arial" w:hAnsi="Arial" w:cs="Arial"/>
          <w:sz w:val="24"/>
        </w:rPr>
        <w:t>1. </w:t>
      </w:r>
      <w:r>
        <w:rPr>
          <w:rFonts w:ascii="Arial" w:eastAsia="Arial" w:hAnsi="Arial" w:cs="Arial"/>
          <w:b w:val="0"/>
          <w:i w:val="0"/>
          <w:caps w:val="0"/>
          <w:strike w:val="0"/>
          <w:color w:val="auto"/>
          <w:sz w:val="24"/>
          <w:u w:val="none"/>
          <w:vertAlign w:val="baseline"/>
        </w:rPr>
        <w:t>Upoważnia się Prezydenta Miasta do:</w:t>
      </w:r>
    </w:p>
    <w:p w:rsidR="00A77B3E">
      <w:pPr>
        <w:keepNext w:val="0"/>
        <w:keepLines w:val="0"/>
        <w:spacing w:before="120" w:after="120" w:line="240" w:lineRule="auto"/>
        <w:ind w:left="340" w:right="0" w:hanging="227"/>
        <w:jc w:val="left"/>
        <w:rPr>
          <w:rFonts w:ascii="Arial" w:eastAsia="Arial" w:hAnsi="Arial" w:cs="Arial"/>
          <w:b w:val="0"/>
          <w:i w:val="0"/>
          <w:caps w:val="0"/>
          <w:strike w:val="0"/>
          <w:color w:val="000000"/>
          <w:sz w:val="24"/>
          <w:u w:val="none" w:color="000000"/>
          <w:vertAlign w:val="baseline"/>
        </w:rPr>
      </w:pPr>
      <w:r>
        <w:rPr>
          <w:rFonts w:ascii="Arial" w:eastAsia="Arial" w:hAnsi="Arial" w:cs="Arial"/>
          <w:sz w:val="24"/>
        </w:rPr>
        <w:t>1) </w:t>
      </w:r>
      <w:r>
        <w:rPr>
          <w:rFonts w:ascii="Arial" w:eastAsia="Arial" w:hAnsi="Arial" w:cs="Arial"/>
          <w:b w:val="0"/>
          <w:i w:val="0"/>
          <w:caps w:val="0"/>
          <w:strike w:val="0"/>
          <w:color w:val="000000"/>
          <w:sz w:val="24"/>
          <w:u w:val="none" w:color="000000"/>
          <w:vertAlign w:val="baseline"/>
        </w:rPr>
        <w:t>zaciągania zobowiązań związanych z</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realizacją przedsięwzięć, o</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których mowa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2;</w:t>
      </w:r>
    </w:p>
    <w:p w:rsidR="00A77B3E">
      <w:pPr>
        <w:keepNext w:val="0"/>
        <w:keepLines w:val="0"/>
        <w:spacing w:before="120" w:after="120" w:line="240" w:lineRule="auto"/>
        <w:ind w:left="340" w:right="0" w:hanging="227"/>
        <w:jc w:val="left"/>
        <w:rPr>
          <w:rFonts w:ascii="Arial" w:eastAsia="Arial" w:hAnsi="Arial" w:cs="Arial"/>
          <w:b w:val="0"/>
          <w:i w:val="0"/>
          <w:caps w:val="0"/>
          <w:strike w:val="0"/>
          <w:color w:val="000000"/>
          <w:sz w:val="24"/>
          <w:u w:val="none" w:color="000000"/>
          <w:vertAlign w:val="baseline"/>
        </w:rPr>
      </w:pPr>
      <w:r>
        <w:rPr>
          <w:rFonts w:ascii="Arial" w:eastAsia="Arial" w:hAnsi="Arial" w:cs="Arial"/>
          <w:sz w:val="24"/>
        </w:rPr>
        <w:t>2) </w:t>
      </w:r>
      <w:r>
        <w:rPr>
          <w:rFonts w:ascii="Arial" w:eastAsia="Arial" w:hAnsi="Arial" w:cs="Arial"/>
          <w:b w:val="0"/>
          <w:i w:val="0"/>
          <w:caps w:val="0"/>
          <w:strike w:val="0"/>
          <w:color w:val="000000"/>
          <w:sz w:val="24"/>
          <w:u w:val="none" w:color="000000"/>
          <w:vertAlign w:val="baseline"/>
        </w:rPr>
        <w:t>zaciągania zobowiązań z</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tytułu umów, których realizacja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roku budżetowym i</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w latach następnych jest niezbędna dla zapewnienia ciągłości działania miasta i</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z których wynikające płatności wykraczają poza rok budżetowy;</w:t>
      </w:r>
    </w:p>
    <w:p w:rsidR="00A77B3E">
      <w:pPr>
        <w:keepNext w:val="0"/>
        <w:keepLines w:val="0"/>
        <w:spacing w:before="120" w:after="120" w:line="240" w:lineRule="auto"/>
        <w:ind w:left="340" w:right="0" w:hanging="227"/>
        <w:jc w:val="left"/>
        <w:rPr>
          <w:rFonts w:ascii="Arial" w:eastAsia="Arial" w:hAnsi="Arial" w:cs="Arial"/>
          <w:b w:val="0"/>
          <w:i w:val="0"/>
          <w:caps w:val="0"/>
          <w:strike w:val="0"/>
          <w:color w:val="000000"/>
          <w:sz w:val="24"/>
          <w:u w:val="none" w:color="000000"/>
          <w:vertAlign w:val="baseline"/>
        </w:rPr>
      </w:pPr>
      <w:r>
        <w:rPr>
          <w:rFonts w:ascii="Arial" w:eastAsia="Arial" w:hAnsi="Arial" w:cs="Arial"/>
          <w:sz w:val="24"/>
        </w:rPr>
        <w:t>3) </w:t>
      </w:r>
      <w:r>
        <w:rPr>
          <w:rFonts w:ascii="Arial" w:eastAsia="Arial" w:hAnsi="Arial" w:cs="Arial"/>
          <w:b w:val="0"/>
          <w:i w:val="0"/>
          <w:caps w:val="0"/>
          <w:strike w:val="0"/>
          <w:color w:val="000000"/>
          <w:sz w:val="24"/>
          <w:u w:val="none" w:color="000000"/>
          <w:vertAlign w:val="baseline"/>
        </w:rPr>
        <w:t>dokonywania zmian limitów zobowiązań i</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kwot wydatków na realizację przedsięwzięcia finansowanego z</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udziałem środków europejskich albo środków, o</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których mowa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art.</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5</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ust.1 pkt</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3,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związku ze zmianami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realizacji tego przedsięwzięcia, o</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ile zmiany te nie</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pogorszą wyniku budżetu dla każdego roku objętego wieloletnią prognozą finansową. Upoważnienie to obejmuje także upoważnienie do dokonywania zmian środków przeznaczonych na współfinansowanie realizacji przedsięwzięć, o</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których mowa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zdaniu pierwszym,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tym wkładu własnego beneficjenta, oraz wynikających z</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rozstrzygnięć konkursów, o</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których mowa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art.</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38</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ust.</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1</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pkt</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1</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ustawy o</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zasadach realizacji programów.</w:t>
      </w:r>
    </w:p>
    <w:p w:rsidR="00A77B3E">
      <w:pPr>
        <w:keepNext w:val="0"/>
        <w:keepLines/>
        <w:spacing w:before="120" w:after="120" w:line="240" w:lineRule="auto"/>
        <w:ind w:left="0" w:right="0" w:firstLine="340"/>
        <w:jc w:val="left"/>
        <w:rPr>
          <w:rFonts w:ascii="Arial" w:eastAsia="Arial" w:hAnsi="Arial" w:cs="Arial"/>
          <w:b w:val="0"/>
          <w:i w:val="0"/>
          <w:caps w:val="0"/>
          <w:strike w:val="0"/>
          <w:color w:val="000000"/>
          <w:sz w:val="24"/>
          <w:u w:val="none" w:color="000000"/>
          <w:vertAlign w:val="baseline"/>
        </w:rPr>
      </w:pPr>
      <w:r>
        <w:rPr>
          <w:rFonts w:ascii="Arial" w:eastAsia="Arial" w:hAnsi="Arial" w:cs="Arial"/>
          <w:sz w:val="24"/>
        </w:rPr>
        <w:t>2. </w:t>
      </w:r>
      <w:r>
        <w:rPr>
          <w:rFonts w:ascii="Arial" w:eastAsia="Arial" w:hAnsi="Arial" w:cs="Arial"/>
          <w:b w:val="0"/>
          <w:i w:val="0"/>
          <w:caps w:val="0"/>
          <w:strike w:val="0"/>
          <w:color w:val="000000"/>
          <w:sz w:val="24"/>
          <w:u w:val="none" w:color="000000"/>
          <w:vertAlign w:val="baseline"/>
        </w:rPr>
        <w:t>Upoważnia się Prezydenta Miasta do przekazania uprawnień do zaciągania zobowiązań, o</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których mowa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ust.</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1</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pkt</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1</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i</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2, kierownikom jednostek organizacyjnych miasta.</w:t>
      </w:r>
    </w:p>
    <w:p w:rsidR="00A77B3E">
      <w:pPr>
        <w:keepNext w:val="0"/>
        <w:keepLines/>
        <w:spacing w:before="120" w:after="120" w:line="240" w:lineRule="auto"/>
        <w:ind w:left="0" w:right="0" w:firstLine="340"/>
        <w:jc w:val="left"/>
        <w:rPr>
          <w:rFonts w:ascii="Arial" w:eastAsia="Arial" w:hAnsi="Arial" w:cs="Arial"/>
          <w:b w:val="0"/>
          <w:i w:val="0"/>
          <w:caps w:val="0"/>
          <w:strike w:val="0"/>
          <w:color w:val="000000"/>
          <w:sz w:val="24"/>
          <w:u w:val="none" w:color="000000"/>
          <w:vertAlign w:val="baseline"/>
        </w:rPr>
      </w:pPr>
      <w:r>
        <w:rPr>
          <w:rFonts w:ascii="Arial" w:eastAsia="Arial" w:hAnsi="Arial" w:cs="Arial"/>
          <w:b/>
          <w:sz w:val="24"/>
        </w:rPr>
        <w:t>§ 5. </w:t>
      </w:r>
      <w:r>
        <w:rPr>
          <w:rFonts w:ascii="Arial" w:eastAsia="Arial" w:hAnsi="Arial" w:cs="Arial"/>
          <w:b w:val="0"/>
          <w:i w:val="0"/>
          <w:caps w:val="0"/>
          <w:strike w:val="0"/>
          <w:color w:val="000000"/>
          <w:sz w:val="24"/>
          <w:u w:val="none" w:color="000000"/>
          <w:vertAlign w:val="baseline"/>
        </w:rPr>
        <w:t>Wykonanie uchwały powierza się Prezydentowi Miasta.</w:t>
      </w:r>
    </w:p>
    <w:p w:rsidR="00A77B3E">
      <w:pPr>
        <w:keepNext w:val="0"/>
        <w:keepLines/>
        <w:spacing w:before="120" w:after="120" w:line="240" w:lineRule="auto"/>
        <w:ind w:left="0" w:right="0" w:firstLine="340"/>
        <w:jc w:val="left"/>
        <w:rPr>
          <w:rFonts w:ascii="Arial" w:eastAsia="Arial" w:hAnsi="Arial" w:cs="Arial"/>
          <w:b w:val="0"/>
          <w:i w:val="0"/>
          <w:caps w:val="0"/>
          <w:strike w:val="0"/>
          <w:color w:val="000000"/>
          <w:sz w:val="24"/>
          <w:u w:val="none" w:color="000000"/>
          <w:vertAlign w:val="baseline"/>
        </w:rPr>
      </w:pPr>
      <w:r>
        <w:rPr>
          <w:rFonts w:ascii="Arial" w:eastAsia="Arial" w:hAnsi="Arial" w:cs="Arial"/>
          <w:b/>
          <w:sz w:val="24"/>
        </w:rPr>
        <w:t>§ 6. </w:t>
      </w:r>
      <w:r>
        <w:rPr>
          <w:rFonts w:ascii="Arial" w:eastAsia="Arial" w:hAnsi="Arial" w:cs="Arial"/>
          <w:b w:val="0"/>
          <w:i w:val="0"/>
          <w:caps w:val="0"/>
          <w:strike w:val="0"/>
          <w:color w:val="000000"/>
          <w:sz w:val="24"/>
          <w:u w:val="none" w:color="000000"/>
          <w:vertAlign w:val="baseline"/>
        </w:rPr>
        <w:t>Z dniem 31</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grudnia 2025</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roku traci moc uchwała nr XII/100/24 Rady Miejskiej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Bytomiu z</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dnia 16</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grudnia 2024</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r.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sprawie wieloletniej prognozy finansowej miasta Bytomia na lata 2025-2046.</w:t>
      </w:r>
    </w:p>
    <w:p w:rsidR="00A77B3E">
      <w:pPr>
        <w:keepNext/>
        <w:keepLines/>
        <w:spacing w:before="120" w:after="120" w:line="240" w:lineRule="auto"/>
        <w:ind w:left="0" w:right="0" w:firstLine="340"/>
        <w:jc w:val="left"/>
        <w:rPr>
          <w:rFonts w:ascii="Arial" w:eastAsia="Arial" w:hAnsi="Arial" w:cs="Arial"/>
          <w:b w:val="0"/>
          <w:i w:val="0"/>
          <w:caps w:val="0"/>
          <w:strike w:val="0"/>
          <w:color w:val="000000"/>
          <w:sz w:val="24"/>
          <w:u w:val="none" w:color="000000"/>
          <w:vertAlign w:val="baseline"/>
        </w:rPr>
      </w:pPr>
      <w:r>
        <w:rPr>
          <w:rFonts w:ascii="Arial" w:eastAsia="Arial" w:hAnsi="Arial" w:cs="Arial"/>
          <w:b/>
          <w:sz w:val="24"/>
        </w:rPr>
        <w:t>§ 7. </w:t>
      </w:r>
      <w:r>
        <w:rPr>
          <w:rFonts w:ascii="Arial" w:eastAsia="Arial" w:hAnsi="Arial" w:cs="Arial"/>
          <w:b w:val="0"/>
          <w:i w:val="0"/>
          <w:caps w:val="0"/>
          <w:strike w:val="0"/>
          <w:color w:val="000000"/>
          <w:sz w:val="24"/>
          <w:u w:val="none" w:color="000000"/>
          <w:vertAlign w:val="baseline"/>
        </w:rPr>
        <w:t>Uchwała wchodzi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życie z</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dniem 1</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stycznia 2026</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r.</w:t>
      </w:r>
    </w:p>
    <w:p w:rsidR="00A77B3E">
      <w:pPr>
        <w:keepNext/>
        <w:keepLines/>
        <w:spacing w:before="120" w:after="120" w:line="240" w:lineRule="auto"/>
        <w:ind w:left="0" w:right="0" w:firstLine="227"/>
        <w:jc w:val="left"/>
        <w:rPr>
          <w:rFonts w:ascii="Arial" w:eastAsia="Arial" w:hAnsi="Arial" w:cs="Arial"/>
          <w:b w:val="0"/>
          <w:i w:val="0"/>
          <w:caps w:val="0"/>
          <w:strike w:val="0"/>
          <w:color w:val="000000"/>
          <w:sz w:val="24"/>
          <w:u w:val="none" w:color="000000"/>
          <w:vertAlign w:val="baseline"/>
        </w:rPr>
      </w:pP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 </w:t>
      </w:r>
    </w:p>
    <w:p w:rsidR="00A77B3E">
      <w:pPr>
        <w:keepNext/>
        <w:spacing w:before="0" w:after="0"/>
        <w:rPr>
          <w:rFonts w:ascii="Arial" w:eastAsia="Arial" w:hAnsi="Arial" w:cs="Arial"/>
          <w:b w:val="0"/>
          <w:i w:val="0"/>
          <w:caps w:val="0"/>
          <w:strike w:val="0"/>
          <w:color w:val="000000"/>
          <w:sz w:val="24"/>
          <w:u w:val="none" w:color="000000"/>
          <w:vertAlign w:val="baseline"/>
        </w:rPr>
      </w:pPr>
      <w:r>
        <w:rPr>
          <w:b w:val="0"/>
          <w:i w:val="0"/>
          <w:color w:val="000000"/>
          <w:u w:val="none"/>
          <w:vertAlign w:val="baseline"/>
        </w:rPr>
        <w:t> </w:t>
      </w:r>
    </w:p>
    <w:tbl>
      <w:tblPr>
        <w:tblW w:w="5000" w:type="pct"/>
        <w:tblCellMar>
          <w:top w:w="0" w:type="dxa"/>
          <w:left w:w="0" w:type="dxa"/>
          <w:bottom w:w="0" w:type="dxa"/>
          <w:right w:w="0" w:type="dxa"/>
        </w:tblCellMar>
      </w:tblPr>
      <w:tblGrid>
        <w:gridCol w:w="4933"/>
        <w:gridCol w:w="4933"/>
      </w:tblGrid>
      <w:tr>
        <w:tblPrEx>
          <w:tblW w:w="5000" w:type="pct"/>
          <w:tblCellMar>
            <w:top w:w="0" w:type="dxa"/>
            <w:left w:w="0" w:type="dxa"/>
            <w:bottom w:w="0" w:type="dxa"/>
            <w:right w:w="0" w:type="dxa"/>
          </w:tblCellMar>
        </w:tblPrEx>
        <w:tc>
          <w:tcPr>
            <w:tcW w:w="2500" w:type="pct"/>
            <w:noWrap w:val="0"/>
            <w:tcMar>
              <w:top w:w="0" w:type="dxa"/>
              <w:left w:w="0" w:type="dxa"/>
              <w:bottom w:w="0" w:type="dxa"/>
              <w:right w:w="0" w:type="dxa"/>
            </w:tcMar>
            <w:vAlign w:val="top"/>
            <w:hideMark/>
          </w:tcPr>
          <w:p>
            <w:pPr>
              <w:keepNext/>
              <w:keepLines/>
              <w:jc w:val="left"/>
              <w:rPr>
                <w:rFonts w:ascii="Arial" w:eastAsia="Arial" w:hAnsi="Arial" w:cs="Arial"/>
                <w:b w:val="0"/>
                <w:bCs w:val="0"/>
                <w:i w:val="0"/>
                <w:iCs w:val="0"/>
                <w:smallCaps w:val="0"/>
                <w:color w:val="000000"/>
                <w:sz w:val="24"/>
              </w:rPr>
            </w:pPr>
          </w:p>
        </w:tc>
        <w:tc>
          <w:tcPr>
            <w:tcW w:w="2500" w:type="pct"/>
            <w:noWrap w:val="0"/>
            <w:tcMar>
              <w:top w:w="0" w:type="dxa"/>
              <w:left w:w="0" w:type="dxa"/>
              <w:bottom w:w="0" w:type="dxa"/>
              <w:right w:w="0" w:type="dxa"/>
            </w:tcMar>
            <w:vAlign w:val="top"/>
            <w:hideMark/>
          </w:tcPr>
          <w:p>
            <w:pPr>
              <w:keepNext/>
              <w:keepLines/>
              <w:spacing w:before="100" w:after="40"/>
              <w:ind w:left="1134" w:right="1134" w:firstLine="0"/>
              <w:jc w:val="center"/>
              <w:rPr>
                <w:rFonts w:ascii="Arial" w:eastAsia="Arial" w:hAnsi="Arial" w:cs="Arial"/>
                <w:b w:val="0"/>
                <w:bCs w:val="0"/>
                <w:i w:val="0"/>
                <w:iCs w:val="0"/>
                <w:smallCaps w:val="0"/>
                <w:color w:val="000000"/>
                <w:sz w:val="24"/>
              </w:rPr>
            </w:pPr>
            <w:r>
              <w:rPr>
                <w:rFonts w:ascii="Arial" w:eastAsia="Arial" w:hAnsi="Arial" w:cs="Arial"/>
                <w:b w:val="0"/>
                <w:bCs w:val="0"/>
                <w:i w:val="0"/>
                <w:iCs w:val="0"/>
                <w:smallCaps w:val="0"/>
                <w:color w:val="000000"/>
                <w:sz w:val="24"/>
              </w:rPr>
              <w:t>Przewodniczący Rady Miejskiej</w:t>
            </w:r>
            <w:r>
              <w:rPr>
                <w:rFonts w:ascii="Arial" w:eastAsia="Arial" w:hAnsi="Arial" w:cs="Arial"/>
                <w:b w:val="0"/>
                <w:bCs w:val="0"/>
                <w:i w:val="0"/>
                <w:iCs w:val="0"/>
                <w:smallCaps w:val="0"/>
                <w:color w:val="000000"/>
                <w:sz w:val="24"/>
              </w:rPr>
              <w:br/>
            </w:r>
            <w:r>
              <w:rPr>
                <w:rFonts w:ascii="Arial" w:eastAsia="Arial" w:hAnsi="Arial" w:cs="Arial"/>
                <w:b w:val="0"/>
                <w:bCs w:val="0"/>
                <w:i w:val="0"/>
                <w:iCs w:val="0"/>
                <w:smallCaps w:val="0"/>
                <w:color w:val="000000"/>
                <w:sz w:val="24"/>
              </w:rPr>
              <w:br/>
            </w:r>
            <w:r>
              <w:rPr>
                <w:rFonts w:ascii="Arial" w:eastAsia="Arial" w:hAnsi="Arial" w:cs="Arial"/>
                <w:b w:val="0"/>
                <w:bCs w:val="0"/>
                <w:i w:val="0"/>
                <w:iCs w:val="0"/>
                <w:smallCaps w:val="0"/>
                <w:color w:val="000000"/>
                <w:sz w:val="24"/>
              </w:rPr>
              <w:br/>
            </w:r>
            <w:r>
              <w:rPr>
                <w:b/>
                <w:i w:val="0"/>
              </w:rPr>
              <w:t>Michał Staniszewski</w:t>
            </w:r>
          </w:p>
        </w:tc>
      </w:tr>
    </w:tbl>
    <w:p w:rsidR="00A77B3E">
      <w:pPr>
        <w:keepNext/>
        <w:spacing w:before="0" w:after="0"/>
        <w:rPr>
          <w:rFonts w:ascii="Arial" w:eastAsia="Arial" w:hAnsi="Arial" w:cs="Arial"/>
          <w:b w:val="0"/>
          <w:i w:val="0"/>
          <w:caps w:val="0"/>
          <w:strike w:val="0"/>
          <w:color w:val="000000"/>
          <w:sz w:val="24"/>
          <w:u w:val="none" w:color="000000"/>
          <w:vertAlign w:val="baseline"/>
        </w:rPr>
        <w:sectPr>
          <w:footerReference w:type="default" r:id="rId5"/>
          <w:endnotePr>
            <w:numFmt w:val="decimal"/>
          </w:endnotePr>
          <w:pgSz w:w="11906" w:h="16838"/>
          <w:pgMar w:top="1417" w:right="1020" w:bottom="992" w:left="1020" w:header="708" w:footer="708" w:gutter="0"/>
          <w:cols w:space="708"/>
          <w:docGrid w:linePitch="360"/>
        </w:sectPr>
      </w:pPr>
    </w:p>
    <w:p w:rsidR="00A77B3E">
      <w:pPr>
        <w:keepNext/>
        <w:spacing w:before="280" w:after="280" w:line="276" w:lineRule="auto"/>
        <w:ind w:left="4535" w:right="0" w:firstLine="0"/>
        <w:jc w:val="left"/>
        <w:rPr>
          <w:rFonts w:ascii="Arial" w:eastAsia="Arial" w:hAnsi="Arial" w:cs="Arial"/>
          <w:b w:val="0"/>
          <w:i w:val="0"/>
          <w:caps w:val="0"/>
          <w:strike w:val="0"/>
          <w:color w:val="000000"/>
          <w:sz w:val="24"/>
          <w:u w:val="none" w:color="000000"/>
          <w:vertAlign w:val="baseline"/>
        </w:rPr>
      </w:pPr>
      <w:r>
        <w:t>Załącznik Nr 1 do uchwały</w:t>
      </w:r>
      <w:r>
        <w:rPr>
          <w:rFonts w:ascii="Arial" w:eastAsia="Arial" w:hAnsi="Arial" w:cs="Arial"/>
          <w:b w:val="0"/>
          <w:i w:val="0"/>
          <w:caps w:val="0"/>
          <w:strike w:val="0"/>
          <w:color w:val="000000"/>
          <w:sz w:val="24"/>
          <w:u w:val="none" w:color="000000"/>
          <w:vertAlign w:val="baseline"/>
        </w:rPr>
        <w:t xml:space="preserve"> Nr XXVI/223/25</w:t>
      </w:r>
      <w:r>
        <w:rPr>
          <w:rFonts w:ascii="Arial" w:eastAsia="Arial" w:hAnsi="Arial" w:cs="Arial"/>
          <w:b w:val="0"/>
          <w:i w:val="0"/>
          <w:caps w:val="0"/>
          <w:strike w:val="0"/>
          <w:color w:val="000000"/>
          <w:sz w:val="24"/>
          <w:u w:val="none" w:color="000000"/>
          <w:vertAlign w:val="baseline"/>
        </w:rPr>
        <w:br/>
      </w:r>
      <w:r>
        <w:t>Rady Miejskiej w Bytomiu</w:t>
      </w:r>
      <w:r>
        <w:rPr>
          <w:rFonts w:ascii="Arial" w:eastAsia="Arial" w:hAnsi="Arial" w:cs="Arial"/>
          <w:b w:val="0"/>
          <w:i w:val="0"/>
          <w:caps w:val="0"/>
          <w:strike w:val="0"/>
          <w:color w:val="000000"/>
          <w:sz w:val="24"/>
          <w:u w:val="none" w:color="000000"/>
          <w:vertAlign w:val="baseline"/>
        </w:rPr>
        <w:br/>
      </w:r>
      <w:r>
        <w:rPr>
          <w:rFonts w:ascii="Arial" w:eastAsia="Arial" w:hAnsi="Arial" w:cs="Arial"/>
          <w:sz w:val="24"/>
        </w:rPr>
        <w:t>z dnia 15 grudnia 2025 r.</w:t>
      </w:r>
      <w:r>
        <w:rPr>
          <w:rFonts w:ascii="Arial" w:eastAsia="Arial" w:hAnsi="Arial" w:cs="Arial"/>
          <w:b w:val="0"/>
          <w:i w:val="0"/>
          <w:caps w:val="0"/>
          <w:strike w:val="0"/>
          <w:color w:val="000000"/>
          <w:sz w:val="24"/>
          <w:u w:val="none" w:color="000000"/>
          <w:vertAlign w:val="baseline"/>
        </w:rPr>
        <w:br/>
      </w:r>
      <w:hyperlink r:id="rId6" w:history="1">
        <w:r>
          <w:rPr>
            <w:rStyle w:val="Hyperlink"/>
            <w:rFonts w:ascii="Arial" w:eastAsia="Arial" w:hAnsi="Arial" w:cs="Arial"/>
            <w:b w:val="0"/>
            <w:i w:val="0"/>
            <w:caps w:val="0"/>
            <w:strike w:val="0"/>
            <w:color w:val="000000"/>
            <w:sz w:val="24"/>
            <w:u w:val="none" w:color="000000"/>
            <w:vertAlign w:val="baseline"/>
          </w:rPr>
          <w:t>Zalacznik1.pdf</w:t>
        </w:r>
      </w:hyperlink>
    </w:p>
    <w:p w:rsidR="00A77B3E">
      <w:pPr>
        <w:keepNext/>
        <w:spacing w:before="280" w:after="280" w:line="276" w:lineRule="auto"/>
        <w:ind w:left="4535" w:right="0" w:firstLine="0"/>
        <w:jc w:val="left"/>
        <w:rPr>
          <w:rFonts w:ascii="Arial" w:eastAsia="Arial" w:hAnsi="Arial" w:cs="Arial"/>
          <w:b w:val="0"/>
          <w:i w:val="0"/>
          <w:caps w:val="0"/>
          <w:strike w:val="0"/>
          <w:color w:val="000000"/>
          <w:sz w:val="24"/>
          <w:u w:val="none" w:color="000000"/>
          <w:vertAlign w:val="baseline"/>
        </w:rPr>
        <w:sectPr>
          <w:footerReference w:type="default" r:id="rId7"/>
          <w:endnotePr>
            <w:numFmt w:val="decimal"/>
          </w:endnotePr>
          <w:type w:val="nextPage"/>
          <w:pgSz w:w="11906" w:h="16838"/>
          <w:pgMar w:top="1417" w:right="1020" w:bottom="992" w:left="1020" w:header="708" w:footer="708" w:gutter="0"/>
          <w:cols w:space="708"/>
          <w:docGrid w:linePitch="360"/>
        </w:sectPr>
      </w:pPr>
    </w:p>
    <w:p w:rsidR="00A77B3E">
      <w:pPr>
        <w:keepNext/>
        <w:spacing w:before="280" w:after="280" w:line="240" w:lineRule="auto"/>
        <w:ind w:left="4535" w:right="0" w:firstLine="0"/>
        <w:jc w:val="left"/>
        <w:rPr>
          <w:rFonts w:ascii="Arial" w:eastAsia="Arial" w:hAnsi="Arial" w:cs="Arial"/>
          <w:b w:val="0"/>
          <w:i w:val="0"/>
          <w:caps w:val="0"/>
          <w:strike w:val="0"/>
          <w:color w:val="000000"/>
          <w:sz w:val="24"/>
          <w:u w:val="none" w:color="000000"/>
          <w:vertAlign w:val="baseline"/>
        </w:rPr>
      </w:pPr>
      <w:r>
        <w:t>Załącznik Nr 2 do uchwały</w:t>
      </w:r>
      <w:r>
        <w:t xml:space="preserve"> Nr XXVI/223/25</w:t>
      </w:r>
      <w:r>
        <w:rPr>
          <w:rFonts w:ascii="Arial" w:eastAsia="Arial" w:hAnsi="Arial" w:cs="Arial"/>
          <w:b w:val="0"/>
          <w:i w:val="0"/>
          <w:caps w:val="0"/>
          <w:strike w:val="0"/>
          <w:color w:val="000000"/>
          <w:sz w:val="24"/>
          <w:u w:val="none" w:color="000000"/>
          <w:vertAlign w:val="baseline"/>
        </w:rPr>
        <w:br/>
      </w:r>
      <w:r>
        <w:t>Rady Miejskiej w Bytomiu</w:t>
      </w:r>
      <w:r>
        <w:rPr>
          <w:rFonts w:ascii="Arial" w:eastAsia="Arial" w:hAnsi="Arial" w:cs="Arial"/>
          <w:b w:val="0"/>
          <w:i w:val="0"/>
          <w:caps w:val="0"/>
          <w:strike w:val="0"/>
          <w:color w:val="000000"/>
          <w:sz w:val="24"/>
          <w:u w:val="none" w:color="000000"/>
          <w:vertAlign w:val="baseline"/>
        </w:rPr>
        <w:br/>
      </w:r>
      <w:r>
        <w:rPr>
          <w:rFonts w:ascii="Arial" w:eastAsia="Arial" w:hAnsi="Arial" w:cs="Arial"/>
          <w:sz w:val="24"/>
        </w:rPr>
        <w:t>z dnia 15 grudnia 2025 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302"/>
        <w:gridCol w:w="2212"/>
        <w:gridCol w:w="786"/>
        <w:gridCol w:w="222"/>
        <w:gridCol w:w="228"/>
        <w:gridCol w:w="544"/>
        <w:gridCol w:w="464"/>
        <w:gridCol w:w="464"/>
        <w:gridCol w:w="464"/>
        <w:gridCol w:w="464"/>
        <w:gridCol w:w="464"/>
        <w:gridCol w:w="464"/>
        <w:gridCol w:w="464"/>
        <w:gridCol w:w="464"/>
        <w:gridCol w:w="464"/>
        <w:gridCol w:w="464"/>
        <w:gridCol w:w="464"/>
        <w:gridCol w:w="464"/>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4"/>
        </w:trPr>
        <w:tc>
          <w:tcPr>
            <w:tcW w:w="9862" w:type="dxa"/>
            <w:gridSpan w:val="18"/>
            <w:tcBorders>
              <w:top w:val="nil"/>
              <w:left w:val="nil"/>
              <w:bottom w:val="nil"/>
              <w:right w:val="nil"/>
              <w:tl2br w:val="nil"/>
              <w:tr2bl w:val="nil"/>
            </w:tcBorders>
            <w:shd w:val="clear" w:color="auto" w:fill="auto"/>
            <w:vAlign w:val="center"/>
          </w:tcPr>
          <w:p>
            <w:pPr>
              <w:jc w:val="lef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WYKAZ  PRZEDSIĘWZIĘĆ WIELOLETNICH</w:t>
            </w:r>
          </w:p>
        </w:tc>
      </w:tr>
      <w:tr>
        <w:tblPrEx>
          <w:tblW w:w="5000" w:type="pct"/>
          <w:tblCellMar>
            <w:left w:w="108" w:type="dxa"/>
            <w:right w:w="108" w:type="dxa"/>
          </w:tblCellMar>
        </w:tblPrEx>
        <w:trPr>
          <w:trHeight w:val="32"/>
        </w:trPr>
        <w:tc>
          <w:tcPr>
            <w:tcW w:w="302" w:type="dxa"/>
            <w:tcBorders>
              <w:top w:val="nil"/>
              <w:left w:val="nil"/>
              <w:bottom w:val="single" w:sz="2" w:space="0" w:color="000000"/>
              <w:right w:val="nil"/>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nil"/>
              <w:left w:val="nil"/>
              <w:bottom w:val="single" w:sz="2" w:space="0" w:color="000000"/>
              <w:right w:val="nil"/>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p>
        </w:tc>
        <w:tc>
          <w:tcPr>
            <w:tcW w:w="786" w:type="dxa"/>
            <w:tcBorders>
              <w:top w:val="nil"/>
              <w:left w:val="nil"/>
              <w:bottom w:val="single" w:sz="2" w:space="0" w:color="000000"/>
              <w:right w:val="nil"/>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tcBorders>
              <w:top w:val="nil"/>
              <w:left w:val="nil"/>
              <w:bottom w:val="single" w:sz="2" w:space="0" w:color="000000"/>
              <w:right w:val="nil"/>
              <w:tl2br w:val="nil"/>
              <w:tr2bl w:val="nil"/>
            </w:tcBorders>
            <w:shd w:val="clear" w:color="auto" w:fill="auto"/>
            <w:vAlign w:val="top"/>
          </w:tcPr>
          <w:p>
            <w:pPr>
              <w:jc w:val="center"/>
              <w:rPr>
                <w:rFonts w:ascii="Arial" w:eastAsia="Arial" w:hAnsi="Arial" w:cs="Arial"/>
                <w:b w:val="0"/>
                <w:i w:val="0"/>
                <w:strike w:val="0"/>
                <w:color w:val="000000"/>
                <w:sz w:val="14"/>
                <w:u w:val="none"/>
                <w:vertAlign w:val="baseline"/>
              </w:rPr>
            </w:pPr>
          </w:p>
        </w:tc>
        <w:tc>
          <w:tcPr>
            <w:tcW w:w="228" w:type="dxa"/>
            <w:tcBorders>
              <w:top w:val="nil"/>
              <w:left w:val="nil"/>
              <w:bottom w:val="single" w:sz="2" w:space="0" w:color="000000"/>
              <w:right w:val="nil"/>
              <w:tl2br w:val="nil"/>
              <w:tr2bl w:val="nil"/>
            </w:tcBorders>
            <w:shd w:val="clear" w:color="auto" w:fill="auto"/>
            <w:vAlign w:val="top"/>
          </w:tcPr>
          <w:p>
            <w:pPr>
              <w:jc w:val="center"/>
              <w:rPr>
                <w:rFonts w:ascii="Arial" w:eastAsia="Arial" w:hAnsi="Arial" w:cs="Arial"/>
                <w:b w:val="0"/>
                <w:i w:val="0"/>
                <w:strike w:val="0"/>
                <w:color w:val="000000"/>
                <w:sz w:val="14"/>
                <w:u w:val="none"/>
                <w:vertAlign w:val="baseline"/>
              </w:rPr>
            </w:pPr>
          </w:p>
        </w:tc>
        <w:tc>
          <w:tcPr>
            <w:tcW w:w="544" w:type="dxa"/>
            <w:tcBorders>
              <w:top w:val="nil"/>
              <w:left w:val="nil"/>
              <w:bottom w:val="single" w:sz="2" w:space="0" w:color="000000"/>
              <w:right w:val="nil"/>
              <w:tl2br w:val="nil"/>
              <w:tr2bl w:val="nil"/>
            </w:tcBorders>
            <w:shd w:val="clear" w:color="auto" w:fill="auto"/>
            <w:vAlign w:val="top"/>
          </w:tcPr>
          <w:p>
            <w:pPr>
              <w:jc w:val="right"/>
              <w:rPr>
                <w:rFonts w:ascii="Arial" w:eastAsia="Arial" w:hAnsi="Arial" w:cs="Arial"/>
                <w:b w:val="0"/>
                <w:i w:val="0"/>
                <w:strike w:val="0"/>
                <w:color w:val="000000"/>
                <w:sz w:val="14"/>
                <w:u w:val="none"/>
                <w:vertAlign w:val="baseline"/>
              </w:rPr>
            </w:pPr>
          </w:p>
        </w:tc>
        <w:tc>
          <w:tcPr>
            <w:tcW w:w="464" w:type="dxa"/>
            <w:tcBorders>
              <w:top w:val="nil"/>
              <w:left w:val="nil"/>
              <w:bottom w:val="single" w:sz="2" w:space="0" w:color="000000"/>
              <w:right w:val="nil"/>
              <w:tl2br w:val="nil"/>
              <w:tr2bl w:val="nil"/>
            </w:tcBorders>
            <w:shd w:val="clear" w:color="auto" w:fill="auto"/>
            <w:vAlign w:val="top"/>
          </w:tcPr>
          <w:p>
            <w:pPr>
              <w:jc w:val="right"/>
              <w:rPr>
                <w:rFonts w:ascii="Arial" w:eastAsia="Arial" w:hAnsi="Arial" w:cs="Arial"/>
                <w:b w:val="0"/>
                <w:i w:val="0"/>
                <w:strike w:val="0"/>
                <w:color w:val="000000"/>
                <w:sz w:val="14"/>
                <w:u w:val="none"/>
                <w:vertAlign w:val="baseline"/>
              </w:rPr>
            </w:pPr>
          </w:p>
        </w:tc>
        <w:tc>
          <w:tcPr>
            <w:tcW w:w="464" w:type="dxa"/>
            <w:tcBorders>
              <w:top w:val="nil"/>
              <w:left w:val="nil"/>
              <w:bottom w:val="single" w:sz="2" w:space="0" w:color="000000"/>
              <w:right w:val="nil"/>
              <w:tl2br w:val="nil"/>
              <w:tr2bl w:val="nil"/>
            </w:tcBorders>
            <w:shd w:val="clear" w:color="auto" w:fill="auto"/>
            <w:vAlign w:val="top"/>
          </w:tcPr>
          <w:p>
            <w:pPr>
              <w:jc w:val="right"/>
              <w:rPr>
                <w:rFonts w:ascii="Arial" w:eastAsia="Arial" w:hAnsi="Arial" w:cs="Arial"/>
                <w:b w:val="0"/>
                <w:i w:val="0"/>
                <w:strike w:val="0"/>
                <w:color w:val="000000"/>
                <w:sz w:val="14"/>
                <w:u w:val="none"/>
                <w:vertAlign w:val="baseline"/>
              </w:rPr>
            </w:pPr>
          </w:p>
        </w:tc>
        <w:tc>
          <w:tcPr>
            <w:tcW w:w="464" w:type="dxa"/>
            <w:tcBorders>
              <w:top w:val="nil"/>
              <w:left w:val="nil"/>
              <w:bottom w:val="single" w:sz="2" w:space="0" w:color="000000"/>
              <w:right w:val="nil"/>
              <w:tl2br w:val="nil"/>
              <w:tr2bl w:val="nil"/>
            </w:tcBorders>
            <w:shd w:val="clear" w:color="auto" w:fill="auto"/>
            <w:vAlign w:val="top"/>
          </w:tcPr>
          <w:p>
            <w:pPr>
              <w:jc w:val="right"/>
              <w:rPr>
                <w:rFonts w:ascii="Arial" w:eastAsia="Arial" w:hAnsi="Arial" w:cs="Arial"/>
                <w:b w:val="0"/>
                <w:i w:val="0"/>
                <w:strike w:val="0"/>
                <w:color w:val="000000"/>
                <w:sz w:val="14"/>
                <w:u w:val="none"/>
                <w:vertAlign w:val="baseline"/>
              </w:rPr>
            </w:pPr>
          </w:p>
        </w:tc>
        <w:tc>
          <w:tcPr>
            <w:tcW w:w="464" w:type="dxa"/>
            <w:tcBorders>
              <w:top w:val="nil"/>
              <w:left w:val="nil"/>
              <w:bottom w:val="single" w:sz="2" w:space="0" w:color="000000"/>
              <w:right w:val="nil"/>
              <w:tl2br w:val="nil"/>
              <w:tr2bl w:val="nil"/>
            </w:tcBorders>
            <w:shd w:val="clear" w:color="auto" w:fill="auto"/>
            <w:vAlign w:val="top"/>
          </w:tcPr>
          <w:p>
            <w:pPr>
              <w:jc w:val="right"/>
              <w:rPr>
                <w:rFonts w:ascii="Arial" w:eastAsia="Arial" w:hAnsi="Arial" w:cs="Arial"/>
                <w:b w:val="0"/>
                <w:i w:val="0"/>
                <w:strike w:val="0"/>
                <w:color w:val="000000"/>
                <w:sz w:val="14"/>
                <w:u w:val="none"/>
                <w:vertAlign w:val="baseline"/>
              </w:rPr>
            </w:pPr>
          </w:p>
        </w:tc>
        <w:tc>
          <w:tcPr>
            <w:tcW w:w="464" w:type="dxa"/>
            <w:tcBorders>
              <w:top w:val="nil"/>
              <w:left w:val="nil"/>
              <w:bottom w:val="single" w:sz="2" w:space="0" w:color="000000"/>
              <w:right w:val="nil"/>
              <w:tl2br w:val="nil"/>
              <w:tr2bl w:val="nil"/>
            </w:tcBorders>
            <w:shd w:val="clear" w:color="auto" w:fill="auto"/>
            <w:vAlign w:val="top"/>
          </w:tcPr>
          <w:p>
            <w:pPr>
              <w:jc w:val="right"/>
              <w:rPr>
                <w:rFonts w:ascii="Arial" w:eastAsia="Arial" w:hAnsi="Arial" w:cs="Arial"/>
                <w:b w:val="0"/>
                <w:i w:val="0"/>
                <w:strike w:val="0"/>
                <w:color w:val="000000"/>
                <w:sz w:val="14"/>
                <w:u w:val="none"/>
                <w:vertAlign w:val="baseline"/>
              </w:rPr>
            </w:pPr>
          </w:p>
        </w:tc>
        <w:tc>
          <w:tcPr>
            <w:tcW w:w="464" w:type="dxa"/>
            <w:tcBorders>
              <w:top w:val="nil"/>
              <w:left w:val="nil"/>
              <w:bottom w:val="single" w:sz="2" w:space="0" w:color="000000"/>
              <w:right w:val="nil"/>
              <w:tl2br w:val="nil"/>
              <w:tr2bl w:val="nil"/>
            </w:tcBorders>
            <w:shd w:val="clear" w:color="auto" w:fill="auto"/>
            <w:vAlign w:val="top"/>
          </w:tcPr>
          <w:p>
            <w:pPr>
              <w:jc w:val="right"/>
              <w:rPr>
                <w:rFonts w:ascii="Arial" w:eastAsia="Arial" w:hAnsi="Arial" w:cs="Arial"/>
                <w:b w:val="0"/>
                <w:i w:val="0"/>
                <w:strike w:val="0"/>
                <w:color w:val="000000"/>
                <w:sz w:val="14"/>
                <w:u w:val="none"/>
                <w:vertAlign w:val="baseline"/>
              </w:rPr>
            </w:pPr>
          </w:p>
        </w:tc>
        <w:tc>
          <w:tcPr>
            <w:tcW w:w="464" w:type="dxa"/>
            <w:tcBorders>
              <w:top w:val="nil"/>
              <w:left w:val="nil"/>
              <w:bottom w:val="single" w:sz="2" w:space="0" w:color="000000"/>
              <w:right w:val="nil"/>
              <w:tl2br w:val="nil"/>
              <w:tr2bl w:val="nil"/>
            </w:tcBorders>
            <w:shd w:val="clear" w:color="auto" w:fill="auto"/>
            <w:vAlign w:val="top"/>
          </w:tcPr>
          <w:p>
            <w:pPr>
              <w:jc w:val="right"/>
              <w:rPr>
                <w:rFonts w:ascii="Arial" w:eastAsia="Arial" w:hAnsi="Arial" w:cs="Arial"/>
                <w:b w:val="0"/>
                <w:i w:val="0"/>
                <w:strike w:val="0"/>
                <w:color w:val="000000"/>
                <w:sz w:val="14"/>
                <w:u w:val="none"/>
                <w:vertAlign w:val="baseline"/>
              </w:rPr>
            </w:pPr>
          </w:p>
        </w:tc>
        <w:tc>
          <w:tcPr>
            <w:tcW w:w="464" w:type="dxa"/>
            <w:tcBorders>
              <w:top w:val="nil"/>
              <w:left w:val="nil"/>
              <w:bottom w:val="single" w:sz="2" w:space="0" w:color="000000"/>
              <w:right w:val="nil"/>
              <w:tl2br w:val="nil"/>
              <w:tr2bl w:val="nil"/>
            </w:tcBorders>
            <w:shd w:val="clear" w:color="auto" w:fill="auto"/>
            <w:vAlign w:val="top"/>
          </w:tcPr>
          <w:p>
            <w:pPr>
              <w:jc w:val="right"/>
              <w:rPr>
                <w:rFonts w:ascii="Arial" w:eastAsia="Arial" w:hAnsi="Arial" w:cs="Arial"/>
                <w:b w:val="0"/>
                <w:i w:val="0"/>
                <w:strike w:val="0"/>
                <w:color w:val="000000"/>
                <w:sz w:val="14"/>
                <w:u w:val="none"/>
                <w:vertAlign w:val="baseline"/>
              </w:rPr>
            </w:pPr>
          </w:p>
        </w:tc>
        <w:tc>
          <w:tcPr>
            <w:tcW w:w="464" w:type="dxa"/>
            <w:tcBorders>
              <w:top w:val="nil"/>
              <w:left w:val="nil"/>
              <w:bottom w:val="single" w:sz="2" w:space="0" w:color="000000"/>
              <w:right w:val="nil"/>
              <w:tl2br w:val="nil"/>
              <w:tr2bl w:val="nil"/>
            </w:tcBorders>
            <w:shd w:val="clear" w:color="auto" w:fill="auto"/>
            <w:vAlign w:val="top"/>
          </w:tcPr>
          <w:p>
            <w:pPr>
              <w:jc w:val="right"/>
              <w:rPr>
                <w:rFonts w:ascii="Arial" w:eastAsia="Arial" w:hAnsi="Arial" w:cs="Arial"/>
                <w:b w:val="0"/>
                <w:i w:val="0"/>
                <w:strike w:val="0"/>
                <w:color w:val="000000"/>
                <w:sz w:val="14"/>
                <w:u w:val="none"/>
                <w:vertAlign w:val="baseline"/>
              </w:rPr>
            </w:pPr>
          </w:p>
        </w:tc>
        <w:tc>
          <w:tcPr>
            <w:tcW w:w="464" w:type="dxa"/>
            <w:tcBorders>
              <w:top w:val="nil"/>
              <w:left w:val="nil"/>
              <w:bottom w:val="single" w:sz="2" w:space="0" w:color="000000"/>
              <w:right w:val="nil"/>
              <w:tl2br w:val="nil"/>
              <w:tr2bl w:val="nil"/>
            </w:tcBorders>
            <w:shd w:val="clear" w:color="auto" w:fill="auto"/>
            <w:vAlign w:val="top"/>
          </w:tcPr>
          <w:p>
            <w:pPr>
              <w:jc w:val="right"/>
              <w:rPr>
                <w:rFonts w:ascii="Arial" w:eastAsia="Arial" w:hAnsi="Arial" w:cs="Arial"/>
                <w:b w:val="0"/>
                <w:i w:val="0"/>
                <w:strike w:val="0"/>
                <w:color w:val="000000"/>
                <w:sz w:val="14"/>
                <w:u w:val="none"/>
                <w:vertAlign w:val="baseline"/>
              </w:rPr>
            </w:pPr>
          </w:p>
        </w:tc>
        <w:tc>
          <w:tcPr>
            <w:tcW w:w="464" w:type="dxa"/>
            <w:tcBorders>
              <w:top w:val="nil"/>
              <w:left w:val="nil"/>
              <w:bottom w:val="single" w:sz="2" w:space="0" w:color="000000"/>
              <w:right w:val="nil"/>
              <w:tl2br w:val="nil"/>
              <w:tr2bl w:val="nil"/>
            </w:tcBorders>
            <w:shd w:val="clear" w:color="auto" w:fill="auto"/>
            <w:vAlign w:val="top"/>
          </w:tcPr>
          <w:p>
            <w:pPr>
              <w:jc w:val="right"/>
              <w:rPr>
                <w:rFonts w:ascii="Arial" w:eastAsia="Arial" w:hAnsi="Arial" w:cs="Arial"/>
                <w:b w:val="0"/>
                <w:i w:val="0"/>
                <w:strike w:val="0"/>
                <w:color w:val="000000"/>
                <w:sz w:val="14"/>
                <w:u w:val="none"/>
                <w:vertAlign w:val="baseline"/>
              </w:rPr>
            </w:pPr>
          </w:p>
        </w:tc>
        <w:tc>
          <w:tcPr>
            <w:tcW w:w="464" w:type="dxa"/>
            <w:tcBorders>
              <w:top w:val="nil"/>
              <w:left w:val="nil"/>
              <w:bottom w:val="single" w:sz="2" w:space="0" w:color="000000"/>
              <w:right w:val="nil"/>
              <w:tl2br w:val="nil"/>
              <w:tr2bl w:val="nil"/>
            </w:tcBorders>
            <w:shd w:val="clear" w:color="auto" w:fill="auto"/>
            <w:vAlign w:val="top"/>
          </w:tcPr>
          <w:p>
            <w:pPr>
              <w:jc w:val="righ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270"/>
        </w:trPr>
        <w:tc>
          <w:tcPr>
            <w:tcW w:w="302"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Lp</w:t>
            </w:r>
          </w:p>
        </w:tc>
        <w:tc>
          <w:tcPr>
            <w:tcW w:w="2212" w:type="dxa"/>
            <w:vMerge w:val="restart"/>
            <w:tcBorders>
              <w:top w:val="single" w:sz="2" w:space="0" w:color="000000"/>
              <w:left w:val="single" w:sz="2" w:space="0" w:color="000000"/>
              <w:bottom w:val="nil"/>
              <w:right w:val="single" w:sz="2" w:space="0" w:color="000000"/>
              <w:tl2br w:val="nil"/>
              <w:tr2bl w:val="nil"/>
            </w:tcBorders>
            <w:shd w:val="clear" w:color="auto" w:fill="auto"/>
            <w:vAlign w:val="top"/>
          </w:tcPr>
          <w:p>
            <w:pPr>
              <w:jc w:val="lef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Nazwa i cel</w:t>
            </w:r>
          </w:p>
        </w:tc>
        <w:tc>
          <w:tcPr>
            <w:tcW w:w="786"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Jednostka odpowiedzialna lub koordynująca program</w:t>
            </w:r>
          </w:p>
        </w:tc>
        <w:tc>
          <w:tcPr>
            <w:tcW w:w="450"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Okres realizacji programu</w:t>
            </w:r>
          </w:p>
        </w:tc>
        <w:tc>
          <w:tcPr>
            <w:tcW w:w="544"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center"/>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Łączne nakłady finansowe</w:t>
            </w:r>
          </w:p>
        </w:tc>
        <w:tc>
          <w:tcPr>
            <w:tcW w:w="2320" w:type="dxa"/>
            <w:gridSpan w:val="5"/>
            <w:tcBorders>
              <w:top w:val="single" w:sz="2" w:space="0" w:color="000000"/>
              <w:left w:val="single" w:sz="2" w:space="0" w:color="000000"/>
              <w:bottom w:val="single" w:sz="2" w:space="0" w:color="000000"/>
              <w:right w:val="nil"/>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tcBorders>
              <w:top w:val="single" w:sz="2" w:space="0" w:color="000000"/>
              <w:left w:val="nil"/>
              <w:bottom w:val="single" w:sz="2" w:space="0" w:color="000000"/>
              <w:right w:val="nil"/>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tcBorders>
              <w:top w:val="single" w:sz="2" w:space="0" w:color="000000"/>
              <w:left w:val="nil"/>
              <w:bottom w:val="single" w:sz="2" w:space="0" w:color="000000"/>
              <w:right w:val="nil"/>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tcBorders>
              <w:top w:val="single" w:sz="2" w:space="0" w:color="000000"/>
              <w:left w:val="nil"/>
              <w:bottom w:val="single" w:sz="2" w:space="0" w:color="000000"/>
              <w:right w:val="nil"/>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tcBorders>
              <w:top w:val="single" w:sz="2" w:space="0" w:color="000000"/>
              <w:left w:val="nil"/>
              <w:bottom w:val="single" w:sz="2" w:space="0" w:color="000000"/>
              <w:right w:val="nil"/>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tcBorders>
              <w:top w:val="single" w:sz="2" w:space="0" w:color="000000"/>
              <w:left w:val="nil"/>
              <w:bottom w:val="single" w:sz="2" w:space="0" w:color="000000"/>
              <w:right w:val="nil"/>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tcBorders>
              <w:top w:val="single" w:sz="2" w:space="0" w:color="000000"/>
              <w:left w:val="nil"/>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Limit zobowiązań</w:t>
            </w:r>
          </w:p>
        </w:tc>
      </w:tr>
      <w:tr>
        <w:tblPrEx>
          <w:tblW w:w="5000" w:type="pct"/>
          <w:tblCellMar>
            <w:left w:w="108" w:type="dxa"/>
            <w:right w:w="108" w:type="dxa"/>
          </w:tblCellMar>
        </w:tblPrEx>
        <w:trPr>
          <w:trHeight w:val="102"/>
        </w:trPr>
        <w:tc>
          <w:tcPr>
            <w:tcW w:w="302"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2212" w:type="dxa"/>
            <w:vMerge/>
            <w:tcBorders>
              <w:top w:val="nil"/>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i w:val="0"/>
                <w:strike w:val="0"/>
                <w:color w:val="000000"/>
                <w:sz w:val="14"/>
                <w:u w:val="none"/>
                <w:vertAlign w:val="baseline"/>
              </w:rPr>
            </w:pPr>
          </w:p>
        </w:tc>
        <w:tc>
          <w:tcPr>
            <w:tcW w:w="786"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22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center"/>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od</w:t>
            </w:r>
          </w:p>
        </w:tc>
        <w:tc>
          <w:tcPr>
            <w:tcW w:w="228"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center"/>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do</w:t>
            </w:r>
          </w:p>
        </w:tc>
        <w:tc>
          <w:tcPr>
            <w:tcW w:w="544"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center"/>
              <w:rPr>
                <w:rFonts w:ascii="Arial" w:eastAsia="Arial" w:hAnsi="Arial" w:cs="Arial"/>
                <w:b/>
                <w:i w:val="0"/>
                <w:strike w:val="0"/>
                <w:color w:val="000000"/>
                <w:sz w:val="14"/>
                <w:u w:val="none"/>
                <w:vertAlign w:val="baseline"/>
              </w:rPr>
            </w:pP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center"/>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2026</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center"/>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2027</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center"/>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2028</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center"/>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2029</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center"/>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2030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center"/>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2031</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center"/>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2032</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center"/>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2033</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center"/>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2034</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center"/>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2035</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center"/>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2036</w:t>
            </w: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r>
      <w:tr>
        <w:tblPrEx>
          <w:tblW w:w="5000" w:type="pct"/>
          <w:tblCellMar>
            <w:left w:w="108" w:type="dxa"/>
            <w:right w:w="108" w:type="dxa"/>
          </w:tblCellMar>
        </w:tblPrEx>
        <w:trPr>
          <w:trHeight w:val="98"/>
        </w:trPr>
        <w:tc>
          <w:tcPr>
            <w:tcW w:w="30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1</w:t>
            </w:r>
          </w:p>
        </w:tc>
        <w:tc>
          <w:tcPr>
            <w:tcW w:w="3448" w:type="dxa"/>
            <w:gridSpan w:val="4"/>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pPr>
              <w:jc w:val="lef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Wydatki na przedsięwzięcia – ogółem (1.1+1.2+1.3), z tego:</w:t>
            </w:r>
          </w:p>
        </w:tc>
        <w:tc>
          <w:tcPr>
            <w:tcW w:w="54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1 131 600 972</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204 231 225</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121 339 654</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88 685 928</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35 234 350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22 451 325</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21 004 700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21 004 700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21 004 700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21 004 700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21 004 700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3 500 800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375 098 066</w:t>
            </w:r>
          </w:p>
        </w:tc>
      </w:tr>
      <w:tr>
        <w:tblPrEx>
          <w:tblW w:w="5000" w:type="pct"/>
          <w:tblCellMar>
            <w:left w:w="108" w:type="dxa"/>
            <w:right w:w="108" w:type="dxa"/>
          </w:tblCellMar>
        </w:tblPrEx>
        <w:trPr>
          <w:trHeight w:val="98"/>
        </w:trPr>
        <w:tc>
          <w:tcPr>
            <w:tcW w:w="30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1.a</w:t>
            </w:r>
          </w:p>
        </w:tc>
        <w:tc>
          <w:tcPr>
            <w:tcW w:w="3448" w:type="dxa"/>
            <w:gridSpan w:val="4"/>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pPr>
              <w:jc w:val="lef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 wydatki bieżące</w:t>
            </w:r>
          </w:p>
        </w:tc>
        <w:tc>
          <w:tcPr>
            <w:tcW w:w="54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589 453 189</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66 081 864</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57 329 618</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41 342 748</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32 935 376</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21 792 918</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21 004 700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21 004 700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21 004 700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21 004 700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21 004 700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3 500 800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256 902 318</w:t>
            </w:r>
          </w:p>
        </w:tc>
      </w:tr>
      <w:tr>
        <w:tblPrEx>
          <w:tblW w:w="5000" w:type="pct"/>
          <w:tblCellMar>
            <w:left w:w="108" w:type="dxa"/>
            <w:right w:w="108" w:type="dxa"/>
          </w:tblCellMar>
        </w:tblPrEx>
        <w:trPr>
          <w:trHeight w:val="98"/>
        </w:trPr>
        <w:tc>
          <w:tcPr>
            <w:tcW w:w="30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1.b</w:t>
            </w:r>
          </w:p>
        </w:tc>
        <w:tc>
          <w:tcPr>
            <w:tcW w:w="3448" w:type="dxa"/>
            <w:gridSpan w:val="4"/>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pPr>
              <w:jc w:val="lef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 wydatki majątkowe</w:t>
            </w:r>
          </w:p>
        </w:tc>
        <w:tc>
          <w:tcPr>
            <w:tcW w:w="54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542 147 783</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138 149 361</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64 010 036</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47 343 180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2 298 974</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658 407</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118 195 748</w:t>
            </w:r>
          </w:p>
        </w:tc>
      </w:tr>
      <w:tr>
        <w:tblPrEx>
          <w:tblW w:w="5000" w:type="pct"/>
          <w:tblCellMar>
            <w:left w:w="108" w:type="dxa"/>
            <w:right w:w="108" w:type="dxa"/>
          </w:tblCellMar>
        </w:tblPrEx>
        <w:trPr>
          <w:trHeight w:val="98"/>
        </w:trPr>
        <w:tc>
          <w:tcPr>
            <w:tcW w:w="30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1.1</w:t>
            </w:r>
          </w:p>
        </w:tc>
        <w:tc>
          <w:tcPr>
            <w:tcW w:w="3448" w:type="dxa"/>
            <w:gridSpan w:val="4"/>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Wydatki na programy, projekty lub zadania związane z programami realizowanymi 
z udziałem środków, o których mowa w art. 5 ust.1 pkt 2 i 3 ustawy z dnia 27 sierpnia 2009 r. o finansach publicznych (Dz.U. z 2019 poz. 869, z późn. zm.), z tego:</w:t>
            </w:r>
          </w:p>
        </w:tc>
        <w:tc>
          <w:tcPr>
            <w:tcW w:w="54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339 580 972</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73 774 088</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19 771 998</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13 164 161</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89 095 073</w:t>
            </w:r>
          </w:p>
        </w:tc>
      </w:tr>
      <w:tr>
        <w:tblPrEx>
          <w:tblW w:w="5000" w:type="pct"/>
          <w:tblCellMar>
            <w:left w:w="108" w:type="dxa"/>
            <w:right w:w="108" w:type="dxa"/>
          </w:tblCellMar>
        </w:tblPrEx>
        <w:trPr>
          <w:trHeight w:val="98"/>
        </w:trPr>
        <w:tc>
          <w:tcPr>
            <w:tcW w:w="30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1.1.1</w:t>
            </w:r>
          </w:p>
        </w:tc>
        <w:tc>
          <w:tcPr>
            <w:tcW w:w="3448" w:type="dxa"/>
            <w:gridSpan w:val="4"/>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pPr>
              <w:jc w:val="lef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 wydatki bieżące</w:t>
            </w:r>
          </w:p>
        </w:tc>
        <w:tc>
          <w:tcPr>
            <w:tcW w:w="54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34 796 493</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13 002 455</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4 072 477</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762 813</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16 860 093</w:t>
            </w:r>
          </w:p>
        </w:tc>
      </w:tr>
      <w:tr>
        <w:tblPrEx>
          <w:tblW w:w="5000" w:type="pct"/>
          <w:tblCellMar>
            <w:left w:w="108" w:type="dxa"/>
            <w:right w:w="108" w:type="dxa"/>
          </w:tblCellMar>
        </w:tblPrEx>
        <w:trPr>
          <w:trHeight w:val="92"/>
        </w:trPr>
        <w:tc>
          <w:tcPr>
            <w:tcW w:w="302"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1.1.1.1</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Program LIFE "Śląskie. Przywracamy Błękit"</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Urząd Miejski w Bytomiu, Wydział Inżynierii Środowiska</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2022</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2027</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350 237</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15 138</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10 092</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25 230</w:t>
            </w:r>
          </w:p>
        </w:tc>
      </w:tr>
      <w:tr>
        <w:tblPrEx>
          <w:tblW w:w="5000" w:type="pct"/>
          <w:tblCellMar>
            <w:left w:w="108" w:type="dxa"/>
            <w:right w:w="108" w:type="dxa"/>
          </w:tblCellMar>
        </w:tblPrEx>
        <w:trPr>
          <w:trHeight w:val="372"/>
        </w:trPr>
        <w:tc>
          <w:tcPr>
            <w:tcW w:w="302"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Kompleksowe działania na rzecz poprawy jakości powietrza na terenie województwa śląskiego umożliwiające efektywne wdrożenie Programu ochrony powietrza dla województwa śląskiego</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CE" w:eastAsia="Arial CE" w:hAnsi="Arial CE" w:cs="Arial CE"/>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r>
      <w:tr>
        <w:tblPrEx>
          <w:tblW w:w="5000" w:type="pct"/>
          <w:tblCellMar>
            <w:left w:w="108" w:type="dxa"/>
            <w:right w:w="108" w:type="dxa"/>
          </w:tblCellMar>
        </w:tblPrEx>
        <w:trPr>
          <w:trHeight w:val="88"/>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1.1.1.2</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Climate-4-CAST</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Urząd Miejski w Bytomiu, Wydział Inżynierii Środowiska, Wydział Kadr, Płac i Szkoleń</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2023</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2026</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907 940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276 072</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276 072</w:t>
            </w:r>
          </w:p>
        </w:tc>
      </w:tr>
      <w:tr>
        <w:tblPrEx>
          <w:tblW w:w="5000" w:type="pct"/>
          <w:tblCellMar>
            <w:left w:w="108" w:type="dxa"/>
            <w:right w:w="108" w:type="dxa"/>
          </w:tblCellMar>
        </w:tblPrEx>
        <w:trPr>
          <w:trHeight w:val="594"/>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 xml:space="preserve">Stworzenie narzędzia informatycznego wraz z metodologią gromadzenia danych dotyczących emisji gazów, identyfikacji celów klimatycznych oraz sposobów monitorowania tych celów. Dodatkowo powstaną założenia dla służb budżetowych w zakresie stworzenia budżetu emisji gazów oraz budżetu klimatycznego, co przyspieszy postęp miast w kierunku neutralności klimatycznej  </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92"/>
        </w:trPr>
        <w:tc>
          <w:tcPr>
            <w:tcW w:w="302"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1.1.1.3</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EKOsprawni - przyszłość zaczyna się w nas</w:t>
            </w:r>
          </w:p>
        </w:tc>
        <w:tc>
          <w:tcPr>
            <w:tcW w:w="786"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544"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1662"/>
        </w:trPr>
        <w:tc>
          <w:tcPr>
            <w:tcW w:w="302"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 Promowanie włączenia społecznego i różnorodności, zrównoważenia środowiskowego i edukacji cyfrowej poprzez podnoszenie świadomości wśród uczestników projektu, aktywne uczestnictwo w sieci organizacji Erasmus, dzielenie się wiedzą oraz wybieranie najlepszych rozwiązań dla swoich działań.
2. Podniesienie kompetencji zawodowych nauczycieli w pracy z osobami o specjalnych potrzebach edukacyjnych.
3. Rozwinięcie potencjału europejskiego placówki poprzez międzynarodową współpracę.
4. Promocja placówki w środowisku lokalnym.
5. Rozwój kompetencji uczniów, motywowanie do społecznego włączenia się poprzez udział w mobilnościach, działaniach wirtualnych i stacjonarnych.
6. Podniesienie świadomości ekologicznej wśród wszystkich uczestników projektu.
7. Zastosowanie innowacyjnych metod i narzędzi pracy z uczniem o specjalnych potrzebach edukacyjnych, zapewnienie kreatywnych i innowacyjnych rozwiązań dla szkoły.</w:t>
            </w:r>
          </w:p>
        </w:tc>
        <w:tc>
          <w:tcPr>
            <w:tcW w:w="786"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Szkoła Podstawowa Specjalna  nr 40</w:t>
            </w:r>
          </w:p>
        </w:tc>
        <w:tc>
          <w:tcPr>
            <w:tcW w:w="222"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2024</w:t>
            </w:r>
          </w:p>
        </w:tc>
        <w:tc>
          <w:tcPr>
            <w:tcW w:w="228"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2026</w:t>
            </w:r>
          </w:p>
        </w:tc>
        <w:tc>
          <w:tcPr>
            <w:tcW w:w="544"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249 253</w:t>
            </w:r>
          </w:p>
        </w:tc>
        <w:tc>
          <w:tcPr>
            <w:tcW w:w="464"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11 032</w:t>
            </w:r>
          </w:p>
        </w:tc>
        <w:tc>
          <w:tcPr>
            <w:tcW w:w="464"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11 032</w:t>
            </w:r>
          </w:p>
        </w:tc>
      </w:tr>
      <w:tr>
        <w:tblPrEx>
          <w:tblW w:w="5000" w:type="pct"/>
          <w:tblCellMar>
            <w:left w:w="108" w:type="dxa"/>
            <w:right w:w="108" w:type="dxa"/>
          </w:tblCellMar>
        </w:tblPrEx>
        <w:trPr>
          <w:trHeight w:val="190"/>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1.1.1.4</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Podniesienie poziomu cyberbezpieczeństwa Gminy Bytom
(w zakresie wydatków bieżących)</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Urząd Miejski w Bytomiu, Wydział Informatyki</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2024</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2026</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216 660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216 660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216 660</w:t>
            </w:r>
          </w:p>
        </w:tc>
      </w:tr>
      <w:tr>
        <w:tblPrEx>
          <w:tblW w:w="5000" w:type="pct"/>
          <w:tblCellMar>
            <w:left w:w="108" w:type="dxa"/>
            <w:right w:w="108" w:type="dxa"/>
          </w:tblCellMar>
        </w:tblPrEx>
        <w:trPr>
          <w:trHeight w:val="284"/>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Zniwelowanie niedoborów w obszarach bezpieczeństwa informacji Urzędu Miejskiego poprzez szkolenia i rozbudowę sieci komputerowej o elementy podnoszące poziom bezpieczeństwa</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92"/>
        </w:trPr>
        <w:tc>
          <w:tcPr>
            <w:tcW w:w="302"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1.1.1.5</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Centrum Wsparcia Rodziny - CWR I</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Miejski Ośrodek Pomocy Rodzinie</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2024</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2027</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3 422 403</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1 261 573</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726 042</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1 252 179</w:t>
            </w:r>
          </w:p>
        </w:tc>
      </w:tr>
      <w:tr>
        <w:tblPrEx>
          <w:tblW w:w="5000" w:type="pct"/>
          <w:tblCellMar>
            <w:left w:w="108" w:type="dxa"/>
            <w:right w:w="108" w:type="dxa"/>
          </w:tblCellMar>
        </w:tblPrEx>
        <w:trPr>
          <w:trHeight w:val="376"/>
        </w:trPr>
        <w:tc>
          <w:tcPr>
            <w:tcW w:w="302"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Rozwój, podniesienie jakości oraz dostępności usług wsparcia dla rodzin, w tym rodzin przeżywających trudności w wypełnianiu funkcji opiekuńczo-wychowawczych lub w kryzysie oraz dla dzieci powracających do rodzin biologicznych</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r>
      <w:tr>
        <w:tblPrEx>
          <w:tblW w:w="5000" w:type="pct"/>
          <w:tblCellMar>
            <w:left w:w="108" w:type="dxa"/>
            <w:right w:w="108" w:type="dxa"/>
          </w:tblCellMar>
        </w:tblPrEx>
        <w:trPr>
          <w:trHeight w:val="186"/>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1.1.1.6</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Rozwój energetyki rozproszonej opartej o odnawialne źródła energii na terenie Gminy Bytom</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Urząd Miejski, Wydział Inżynierii Środowiska, Wydział Komunikacji Medialnej i Promocji, Wydział Administracyjny, Wydział Kadr, Płac i Szkoleń, Wydział Informatyki</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2024</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2026</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1 637 531</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530 520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530 520</w:t>
            </w:r>
          </w:p>
        </w:tc>
      </w:tr>
      <w:tr>
        <w:tblPrEx>
          <w:tblW w:w="5000" w:type="pct"/>
          <w:tblCellMar>
            <w:left w:w="108" w:type="dxa"/>
            <w:right w:w="108" w:type="dxa"/>
          </w:tblCellMar>
        </w:tblPrEx>
        <w:trPr>
          <w:trHeight w:val="706"/>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Poprawa jakości powietrza, w tym ograniczenie emisji CO2 oraz pyłu PM10 poprzez zwiększenie poziomu produkcji energii ze źródeł odnawialnych tj. instalacji PV (fotowoltaicznych), magazynów energii, instalacji pomp ciepła, systemów zarządzania energią. Program skierowany jest dla mieszkańców Gminy Bytom, którzy mogą otrzymać maksymalny, dopuszczalny poziom dofinansowania kosztów kwalifikowanych do 85% poniesionych kosztów</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186"/>
        </w:trPr>
        <w:tc>
          <w:tcPr>
            <w:tcW w:w="302"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1.1.1.7</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Rozwój energetyki rozproszonej opartej o odnawialne źródła energii na terenie Gminy Bytom i Radzionków</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Urząd Miejski, Wydział Inżynierii Środowiska, Wydział Komunikacji Medialnej i Promocji, Wydział Administracyjny, Wydział Kadr, Płac i Szkoleń, Wydział Informatyki</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2024</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2026</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2 678 860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1 002 158</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1 002 158</w:t>
            </w:r>
          </w:p>
        </w:tc>
      </w:tr>
      <w:tr>
        <w:tblPrEx>
          <w:tblW w:w="5000" w:type="pct"/>
          <w:tblCellMar>
            <w:left w:w="108" w:type="dxa"/>
            <w:right w:w="108" w:type="dxa"/>
          </w:tblCellMar>
        </w:tblPrEx>
        <w:trPr>
          <w:trHeight w:val="674"/>
        </w:trPr>
        <w:tc>
          <w:tcPr>
            <w:tcW w:w="302"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Poprawa jakości powietrza, w tym ograniczenie emisji CO2 oraz pyłu PM10 poprzez zwiększenie poziomu produkcji energii ze źródeł odnawialnych tj. instalacji PV (fotowoltaicznych), magazynów energii, instalacji pomp ciepła, systemów zarządzania energią. Program skierowany jest dla mieszkańców Gminy Bytom, którzy mogą otrzymać maksymalny, dopuszczalny poziom dofinansowania kosztów kwalifikowanych do 85% poniesionych kosztów</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r>
      <w:tr>
        <w:tblPrEx>
          <w:tblW w:w="5000" w:type="pct"/>
          <w:tblCellMar>
            <w:left w:w="108" w:type="dxa"/>
            <w:right w:w="108" w:type="dxa"/>
          </w:tblCellMar>
        </w:tblPrEx>
        <w:trPr>
          <w:trHeight w:val="186"/>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1.1.1.8</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Czas na zmiany-nowe perspektywy (RAZEM)
z Centrum Integracji Społecznej</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 xml:space="preserve"> Urząd Miejski
w Bytomiu, Wydział Polityki Społecznej, Centrum Integracji Społecznej</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2024</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2026</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1 126 098</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415 552</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376 362</w:t>
            </w:r>
          </w:p>
        </w:tc>
      </w:tr>
      <w:tr>
        <w:tblPrEx>
          <w:tblW w:w="5000" w:type="pct"/>
          <w:tblCellMar>
            <w:left w:w="108" w:type="dxa"/>
            <w:right w:w="108" w:type="dxa"/>
          </w:tblCellMar>
        </w:tblPrEx>
        <w:trPr>
          <w:trHeight w:val="292"/>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Odbudowanie zdolności do samodzielnego świadczenia pracy oraz pełnienia ról społecznych mieszkańców Bytomia</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CE" w:eastAsia="Arial CE" w:hAnsi="Arial CE" w:cs="Arial CE"/>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92"/>
        </w:trPr>
        <w:tc>
          <w:tcPr>
            <w:tcW w:w="302"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1.1.1.9</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 xml:space="preserve">Biznes na zicher-100 tysięcy na start </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 xml:space="preserve">Powiatowy Urząd Pracy </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2024</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2026</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5 363 054</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3 196 645</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3 196 645</w:t>
            </w:r>
          </w:p>
        </w:tc>
      </w:tr>
      <w:tr>
        <w:tblPrEx>
          <w:tblW w:w="5000" w:type="pct"/>
          <w:tblCellMar>
            <w:left w:w="108" w:type="dxa"/>
            <w:right w:w="108" w:type="dxa"/>
          </w:tblCellMar>
        </w:tblPrEx>
        <w:trPr>
          <w:trHeight w:val="744"/>
        </w:trPr>
        <w:tc>
          <w:tcPr>
            <w:tcW w:w="302"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 xml:space="preserve">Powstanie 44 nowych firm, trwałych działalności gospodarczych poprzez wsparcie w założeniu i prowadzeniu firm 26 kobiet i 18 mężczyzn pracujących lub zamieszkujących na terenie miasta Bytomia dotkniętych procesem transformacji, których status na rynku pracy pozwala na skorzystanie z instrumentu outplacement. Grupa docelowa to osoby zagrożone utratą pracy, przewidziane do zwolnienia lub zwolnione z przyczyn niedotyczących pracownika </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r>
      <w:tr>
        <w:tblPrEx>
          <w:tblW w:w="5000" w:type="pct"/>
          <w:tblCellMar>
            <w:left w:w="108" w:type="dxa"/>
            <w:right w:w="108" w:type="dxa"/>
          </w:tblCellMar>
        </w:tblPrEx>
        <w:trPr>
          <w:trHeight w:val="92"/>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1.1.1.10</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Razem do celu</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Miejski Ośrodek Pomocy Rodzinie</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2024</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2027</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1 880 578</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625 901</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602 534</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1 228 435</w:t>
            </w:r>
          </w:p>
        </w:tc>
      </w:tr>
      <w:tr>
        <w:tblPrEx>
          <w:tblW w:w="5000" w:type="pct"/>
          <w:tblCellMar>
            <w:left w:w="108" w:type="dxa"/>
            <w:right w:w="108" w:type="dxa"/>
          </w:tblCellMar>
        </w:tblPrEx>
        <w:trPr>
          <w:trHeight w:val="92"/>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Aktywizacja społeczna i zawodowa uczestników projektu</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CE" w:eastAsia="Arial CE" w:hAnsi="Arial CE" w:cs="Arial CE"/>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r>
      <w:tr>
        <w:tblPrEx>
          <w:tblW w:w="5000" w:type="pct"/>
          <w:tblCellMar>
            <w:left w:w="108" w:type="dxa"/>
            <w:right w:w="108" w:type="dxa"/>
          </w:tblCellMar>
        </w:tblPrEx>
        <w:trPr>
          <w:trHeight w:val="278"/>
        </w:trPr>
        <w:tc>
          <w:tcPr>
            <w:tcW w:w="302"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1.1.1.11</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Razem możemy więcej - wsparcie dla Przedszkola Miejskiego Integracyjnego nr 8 i Przedszkola Miejskiego nr 63 im. Janusza Korczaka z Oddziałami Integracyjnymi</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Urząd Miejski w Bytomiu, Wydział Edukacji, Przedszkole Miejskie Integracyjne nr 8,/ Przedszkole Miejskie nr 63 im. Janusza Korczaka
z Oddziałami Integracyjnymi</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2024</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2026</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483 309</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199 297</w:t>
            </w:r>
          </w:p>
        </w:tc>
        <w:tc>
          <w:tcPr>
            <w:tcW w:w="464"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199 297</w:t>
            </w:r>
          </w:p>
        </w:tc>
      </w:tr>
      <w:tr>
        <w:tblPrEx>
          <w:tblW w:w="5000" w:type="pct"/>
          <w:tblCellMar>
            <w:left w:w="108" w:type="dxa"/>
            <w:right w:w="108" w:type="dxa"/>
          </w:tblCellMar>
        </w:tblPrEx>
        <w:trPr>
          <w:trHeight w:val="572"/>
        </w:trPr>
        <w:tc>
          <w:tcPr>
            <w:tcW w:w="302"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Wsparcie edukacji przedszkolnej poprzez organizację zajęć dodatkowych, podniesienie kwalifikacji zawodowych kadry oraz doposażenie przedszkoli</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274"/>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1.1.1.12</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Trampolina do sukcesu w szkole - wsparcie rozwoju edukacji przedszkolnej w bytomskich Przedszkolach Miejskich nr 33 i 58</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Urząd Miejski w Bytomiu, Wydział Edukacji, Przedszkole Miejskie nr 33, Przedszkole Miejskie nr 58</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2024</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2026</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348 982</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105 405</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105 405</w:t>
            </w:r>
          </w:p>
        </w:tc>
      </w:tr>
      <w:tr>
        <w:tblPrEx>
          <w:tblW w:w="5000" w:type="pct"/>
          <w:tblCellMar>
            <w:left w:w="108" w:type="dxa"/>
            <w:right w:w="108" w:type="dxa"/>
          </w:tblCellMar>
        </w:tblPrEx>
        <w:trPr>
          <w:trHeight w:val="278"/>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Wsparcie edukacji przedszkolnej poprzez organizację zajęć dodatkowych, podniesienie kwalifikacji zawodowych nauczycieli oraz doposażenie przedszkoli</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r>
      <w:tr>
        <w:tblPrEx>
          <w:tblW w:w="5000" w:type="pct"/>
          <w:tblCellMar>
            <w:left w:w="108" w:type="dxa"/>
            <w:right w:w="108" w:type="dxa"/>
          </w:tblCellMar>
        </w:tblPrEx>
        <w:trPr>
          <w:trHeight w:val="140"/>
        </w:trPr>
        <w:tc>
          <w:tcPr>
            <w:tcW w:w="302"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1.1.1.13</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Nowe kwalifikacje zawodowe szansą na sukces</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 xml:space="preserve">Urząd Miejski w Bytomiu, Wydział Edukacji, Państwowe Szkoły Budownictwa, Zespół Szkół Administracyjno-Ekonomicznych i Ogólnokształcących </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2024</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2026</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2 837 267</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70 595</w:t>
            </w:r>
          </w:p>
        </w:tc>
        <w:tc>
          <w:tcPr>
            <w:tcW w:w="464"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70 595</w:t>
            </w:r>
          </w:p>
        </w:tc>
      </w:tr>
      <w:tr>
        <w:tblPrEx>
          <w:tblW w:w="5000" w:type="pct"/>
          <w:tblCellMar>
            <w:left w:w="108" w:type="dxa"/>
            <w:right w:w="108" w:type="dxa"/>
          </w:tblCellMar>
        </w:tblPrEx>
        <w:trPr>
          <w:trHeight w:val="608"/>
        </w:trPr>
        <w:tc>
          <w:tcPr>
            <w:tcW w:w="302"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Podniesienie jakości kształcenia zawodowego, zgodnie z potrzebami rynku pracy z ukierunkowaniem
na branże rozwojowe w Państwowych Szkołach Budownictwa-Zespole Szkół, w Zespole Szkół Administracyjno-Ekonomicznych i Ogólnokształcących-Technikum nr 5
</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186"/>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1.1.1.14</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Wysokiej jakości szkolnictwo zawodowe szansą dla rozwoju podregionu bytomskiego</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Urząd Miejski w Bytomiu, Wydział Edukacji, Bytomski Ośrodek Edukacji, Zespół Szkół Mechaniczno-Elektronicznych, Zespół Szkół Technicznych</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2024</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2026</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2 153 764</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10 131</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10 131</w:t>
            </w:r>
          </w:p>
        </w:tc>
      </w:tr>
      <w:tr>
        <w:tblPrEx>
          <w:tblW w:w="5000" w:type="pct"/>
          <w:tblCellMar>
            <w:left w:w="108" w:type="dxa"/>
            <w:right w:w="108" w:type="dxa"/>
          </w:tblCellMar>
        </w:tblPrEx>
        <w:trPr>
          <w:trHeight w:val="678"/>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Upowszechnienie i rozwój wysokiej jakości kształcenia zawodowego, zgodnie z potrzebami rynku pracy z ukierunkowaniem na branże rozwojowe w Zespole Szkół Mechaniczno-Elektronicznych, Zespole Szkół Technicznych oraz w Bytomskim Ośrodku Edukacji
</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r>
      <w:tr>
        <w:tblPrEx>
          <w:tblW w:w="5000" w:type="pct"/>
          <w:tblCellMar>
            <w:left w:w="108" w:type="dxa"/>
            <w:right w:w="108" w:type="dxa"/>
          </w:tblCellMar>
        </w:tblPrEx>
        <w:trPr>
          <w:trHeight w:val="186"/>
        </w:trPr>
        <w:tc>
          <w:tcPr>
            <w:tcW w:w="302"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1.1.1.15</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Wsparcie śląskich przedsiębiorców w ramach Podmiotowego Systemu Finansowania</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Powiatowy Urząd Pracy</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2025</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2027</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734 790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244 930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244 930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489 860</w:t>
            </w:r>
          </w:p>
        </w:tc>
      </w:tr>
      <w:tr>
        <w:tblPrEx>
          <w:tblW w:w="5000" w:type="pct"/>
          <w:tblCellMar>
            <w:left w:w="108" w:type="dxa"/>
            <w:right w:w="108" w:type="dxa"/>
          </w:tblCellMar>
        </w:tblPrEx>
        <w:trPr>
          <w:trHeight w:val="664"/>
        </w:trPr>
        <w:tc>
          <w:tcPr>
            <w:tcW w:w="302"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Wsparcie MŚP z województwa śląskiego, rozwój umiejętności, kompetencji i kwalifikacji ich pracowników. Wsparcie obejmuje różnorodne usługi rozwojowe tj. szkolenia, doradztwo, walidację, certyfikację oraz studia podyplomowe. Głównym celem projektu jest dostosowanie przedsiębiorstw oraz ich pracowników do zmian zachodzących na rynku pracy, ze szczególnym uwzględnieniem zielonej i cyfrowej transformacji</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CE" w:eastAsia="Arial CE" w:hAnsi="Arial CE" w:cs="Arial CE"/>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r>
      <w:tr>
        <w:tblPrEx>
          <w:tblW w:w="5000" w:type="pct"/>
          <w:tblCellMar>
            <w:left w:w="108" w:type="dxa"/>
            <w:right w:w="108" w:type="dxa"/>
          </w:tblCellMar>
        </w:tblPrEx>
        <w:trPr>
          <w:trHeight w:val="92"/>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1.1.1.16</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 xml:space="preserve">"CRAB - Centrum Rozwoju Aktywności Bytomskiej" </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 xml:space="preserve">Powiatowy Urząd Pracy </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2025</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2026</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379 440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176 624</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176 624</w:t>
            </w:r>
          </w:p>
        </w:tc>
      </w:tr>
      <w:tr>
        <w:tblPrEx>
          <w:tblW w:w="5000" w:type="pct"/>
          <w:tblCellMar>
            <w:left w:w="108" w:type="dxa"/>
            <w:right w:w="108" w:type="dxa"/>
          </w:tblCellMar>
        </w:tblPrEx>
        <w:trPr>
          <w:trHeight w:val="956"/>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Podniesienie poziomu kompetencji i umiejętności podstawowych, w tym cyfrowych wśród 64 osób bezrobotnych zarejestrowanych w PUP w Bytomiu o niskich umiejętnościach podstawowych lub kompetencjach podstawowych. Umiejętności te będą obejmować rozumienie i przetwarzanie informacji, rozumienia matematyczne, umiejętności cyfrowe oraz kompetencje społeczne na podstawie i z korzystaniem rekomendacji modeli przetestowanych w ramach projektu "Szansa-Nowe możliwości dla dorosłych" tj. modelu dla osób bezrobotnych - "Żyroskop-wielopoziomowy model wsparcia osób dorosłych"</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CE" w:eastAsia="Arial CE" w:hAnsi="Arial CE" w:cs="Arial CE"/>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r>
      <w:tr>
        <w:tblPrEx>
          <w:tblW w:w="5000" w:type="pct"/>
          <w:tblCellMar>
            <w:left w:w="108" w:type="dxa"/>
            <w:right w:w="108" w:type="dxa"/>
          </w:tblCellMar>
        </w:tblPrEx>
        <w:trPr>
          <w:trHeight w:val="288"/>
        </w:trPr>
        <w:tc>
          <w:tcPr>
            <w:tcW w:w="302"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1.1.1.17</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Funkcjonowanie miejsc opieki nad dziećmi do lat 3 w ramach Programu rozwoju instytucji opieki nad dziećmi w wieku do lat 3 "Maluch+" 2022-2029</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 xml:space="preserve">Zespół Żłobków Miejskich w Bytomiu (Żłobek Miejski nr 2) </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2024</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2026</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722 305</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160 512</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0</w:t>
            </w:r>
          </w:p>
        </w:tc>
      </w:tr>
      <w:tr>
        <w:tblPrEx>
          <w:tblW w:w="5000" w:type="pct"/>
          <w:tblCellMar>
            <w:left w:w="108" w:type="dxa"/>
            <w:right w:w="108" w:type="dxa"/>
          </w:tblCellMar>
        </w:tblPrEx>
        <w:trPr>
          <w:trHeight w:val="186"/>
        </w:trPr>
        <w:tc>
          <w:tcPr>
            <w:tcW w:w="302"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 xml:space="preserve">Utrzymanie utworzonych w ramach w/w Programu 24 miejsc opieki nad dziećmi w wieku do lat 3 </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CE" w:eastAsia="Arial CE" w:hAnsi="Arial CE" w:cs="Arial CE"/>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r>
      <w:tr>
        <w:tblPrEx>
          <w:tblW w:w="5000" w:type="pct"/>
          <w:tblCellMar>
            <w:left w:w="108" w:type="dxa"/>
            <w:right w:w="108" w:type="dxa"/>
          </w:tblCellMar>
        </w:tblPrEx>
        <w:trPr>
          <w:trHeight w:val="98"/>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1.1.1.18</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 xml:space="preserve">Progres - Zmieniamy się dla potrzeb rynku pracy </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 xml:space="preserve">Powiatowy Urząd Pracy </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2025</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2026</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353 038</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111 301</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111 301</w:t>
            </w:r>
          </w:p>
        </w:tc>
      </w:tr>
      <w:tr>
        <w:tblPrEx>
          <w:tblW w:w="5000" w:type="pct"/>
          <w:tblCellMar>
            <w:left w:w="108" w:type="dxa"/>
            <w:right w:w="108" w:type="dxa"/>
          </w:tblCellMar>
        </w:tblPrEx>
        <w:trPr>
          <w:trHeight w:val="284"/>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 xml:space="preserve">Wzmocnienie potencjału Powiatowego Urzędu Pracy poprzez zasosowanie działań szkoleniowych, w tym w kierunku cyfrowej i zielonej gospodarki  </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200"/>
        </w:trPr>
        <w:tc>
          <w:tcPr>
            <w:tcW w:w="302"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1.1.1.19</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 xml:space="preserve">Modernizacja i doposażenie pracowni - podniesienie jakości kształcenia zawodowego w Bytomiu - wydatki pośrednie </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Urząd Miejski w Bytomiu, Wydział Edukacji</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2025</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2026</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379 670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285 170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285 170</w:t>
            </w:r>
          </w:p>
        </w:tc>
      </w:tr>
      <w:tr>
        <w:tblPrEx>
          <w:tblW w:w="5000" w:type="pct"/>
          <w:tblCellMar>
            <w:left w:w="108" w:type="dxa"/>
            <w:right w:w="108" w:type="dxa"/>
          </w:tblCellMar>
        </w:tblPrEx>
        <w:trPr>
          <w:trHeight w:val="92"/>
        </w:trPr>
        <w:tc>
          <w:tcPr>
            <w:tcW w:w="302"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Koszty obsługi, nadzoru i promocji projektu</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88"/>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1.1.1.20</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Wspieramy i usamodzielniamy</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Dom Pomocy Społecznej dla Dorosłych</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2025</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2028</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1 651 460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687 787</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502 808</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57 545</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1 205 626</w:t>
            </w:r>
          </w:p>
        </w:tc>
      </w:tr>
      <w:tr>
        <w:tblPrEx>
          <w:tblW w:w="5000" w:type="pct"/>
          <w:tblCellMar>
            <w:left w:w="108" w:type="dxa"/>
            <w:right w:w="108" w:type="dxa"/>
          </w:tblCellMar>
        </w:tblPrEx>
        <w:trPr>
          <w:trHeight w:val="366"/>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Wsparcie osób z niepełnosprawnościami poprzez objęcie procesem usamodzielniania 10 mieszkańców DPS oraz uruchomienie Centrum Wsparcia dla osób z zaburzeniami psychicznymi</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92"/>
        </w:trPr>
        <w:tc>
          <w:tcPr>
            <w:tcW w:w="302"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1.1.1.21</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Centrum Wsparcia Rodzicielstwa Zastępczego - CWRZ I</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Miejski Ośrodek Pomocy Rodzinie</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2025</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2028</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2 045 130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726 971</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727 691</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473 394</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1 928 056</w:t>
            </w:r>
          </w:p>
        </w:tc>
      </w:tr>
      <w:tr>
        <w:tblPrEx>
          <w:tblW w:w="5000" w:type="pct"/>
          <w:tblCellMar>
            <w:left w:w="108" w:type="dxa"/>
            <w:right w:w="108" w:type="dxa"/>
          </w:tblCellMar>
        </w:tblPrEx>
        <w:trPr>
          <w:trHeight w:val="264"/>
        </w:trPr>
        <w:tc>
          <w:tcPr>
            <w:tcW w:w="302"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Rozwój, podniesienie jakości oraz dostępności usług wspierających rodzicielstwo zastępcze oraz dzieci przebywających w pieczy zastępczej</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CE" w:eastAsia="Arial CE" w:hAnsi="Arial CE" w:cs="Arial CE"/>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182"/>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1.1.1.22</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Nowe możliwości: Wsparcie migrantów i ich integracja na rynku pracy w województwie śląskim</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 xml:space="preserve">Powiatowy Urząd Pracy </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2025</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2026</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67 787</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19 315</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19 315</w:t>
            </w:r>
          </w:p>
        </w:tc>
      </w:tr>
      <w:tr>
        <w:tblPrEx>
          <w:tblW w:w="5000" w:type="pct"/>
          <w:tblCellMar>
            <w:left w:w="108" w:type="dxa"/>
            <w:right w:w="108" w:type="dxa"/>
          </w:tblCellMar>
        </w:tblPrEx>
        <w:trPr>
          <w:trHeight w:val="524"/>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Integracja społeczno-gospodarcza obywateli państw trzecich poprzez zwiększenie ich szans na rynku pracy oraz promowanie współpracy międzykulturowej w lokalnym środowisku. Projekt zakłada wsparcie migrantów poprzez organizację m.in. szkoleń z języka polskiego, kursów zawodowych, szkoleń z zakresu IT oraz rozwój kompetencji miękkich</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186"/>
        </w:trPr>
        <w:tc>
          <w:tcPr>
            <w:tcW w:w="302"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1.1.1.23</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Razem w Zespole: Efektywne szkolenia dla cudzoziemców i pracodawców</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 xml:space="preserve">Powiatowy Urząd Pracy </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2025</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2027</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112 507</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20 003</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20 003</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40 006</w:t>
            </w:r>
          </w:p>
        </w:tc>
      </w:tr>
      <w:tr>
        <w:tblPrEx>
          <w:tblW w:w="5000" w:type="pct"/>
          <w:tblCellMar>
            <w:left w:w="108" w:type="dxa"/>
            <w:right w:w="108" w:type="dxa"/>
          </w:tblCellMar>
        </w:tblPrEx>
        <w:trPr>
          <w:trHeight w:val="414"/>
        </w:trPr>
        <w:tc>
          <w:tcPr>
            <w:tcW w:w="302"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 xml:space="preserve">Wspomaganie integracji społeczno-gospodarczej obywateli państw trzecich, w tym migrantów, przebywających w województwie śląskim z zamiarem stałego lub czasowego pobytu oraz wspomaganie pracodawców zatrudniających tych obywateli </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92"/>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1.1.1.24</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Licealna Akademia Umiejętności w Bytomiu</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Urząd Miejski
w Bytomiu, Wydział Edukacji, IV Liceum Ogólnokształcące
</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2025</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2028</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554 367</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107 452</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107 452</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30 000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244 904</w:t>
            </w:r>
          </w:p>
        </w:tc>
      </w:tr>
      <w:tr>
        <w:tblPrEx>
          <w:tblW w:w="5000" w:type="pct"/>
          <w:tblCellMar>
            <w:left w:w="108" w:type="dxa"/>
            <w:right w:w="108" w:type="dxa"/>
          </w:tblCellMar>
        </w:tblPrEx>
        <w:trPr>
          <w:trHeight w:val="408"/>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Podniesienie jakości edukacji w kształceniu ogólnym poprzez organizację zajęć dodatkowych dla uczniów, doradztwo edukacyjno-zawodowe, wsparcie kadry pedagogicznej szkoły oraz doposażenie IV Liceum Ogólnokształcącego im. Bolesława Chrobrego</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92"/>
        </w:trPr>
        <w:tc>
          <w:tcPr>
            <w:tcW w:w="302"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1.1.1.25</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Niech historia łączy a nie dzieli nas</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V Liceum Ogólnokształcące Mistrzostwa Sportowego</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2025</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2026</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31 723</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10 861</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10 861</w:t>
            </w:r>
          </w:p>
        </w:tc>
      </w:tr>
      <w:tr>
        <w:tblPrEx>
          <w:tblW w:w="5000" w:type="pct"/>
          <w:tblCellMar>
            <w:left w:w="108" w:type="dxa"/>
            <w:right w:w="108" w:type="dxa"/>
          </w:tblCellMar>
        </w:tblPrEx>
        <w:trPr>
          <w:trHeight w:val="586"/>
        </w:trPr>
        <w:tc>
          <w:tcPr>
            <w:tcW w:w="302"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 Poznanie historii społeczności żydowskiej w Polsce i Czechach przed II wojną światową.
2. Refleksja nad skutkami nietolerancji, nacjonalizmu i wojny.
3. Wspólna praca nad wirtualną wystawą dokumentującą wizytę i zdobytą wiedzę.
4. Integracja młodzieży z Polski i Czech w duchu wartości europejskich.</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176"/>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1.1.1.26</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Edukacja Szkolna w Akcji 1 - mobilność uczniów i kadry w edukacji szkolnej w roku 2025</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Branżowa Szkoła 
I Stopnia nr 8 Specjalna</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2025</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2026</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200 839</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130 839</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130 839</w:t>
            </w:r>
          </w:p>
        </w:tc>
      </w:tr>
      <w:tr>
        <w:tblPrEx>
          <w:tblW w:w="5000" w:type="pct"/>
          <w:tblCellMar>
            <w:left w:w="108" w:type="dxa"/>
            <w:right w:w="108" w:type="dxa"/>
          </w:tblCellMar>
        </w:tblPrEx>
        <w:trPr>
          <w:trHeight w:val="1120"/>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 Podniesienie kompetencji zawodowych nauczycieli w pracy z uczniami o specjalnych potrzebach edukacyjnych
2. Zapobieganie wypaleniu zawodowemu, podniesienie kompetencji osobistych nauczycieli oraz umiejętności zapobieganiu konfliktom
3. Zwiększenie współpracy z rodzicami
4. Rozwinięcie potencjału europejskiego szkoły poprzez współpracę międzynarodową i transfer dobrych praktyk
5. Zmodernizowanie modelu zarządzania szkołą oraz promocja placówki w środowisku lokalnym
6. Rozwój kompetencji uczniów, motywowanie do społecznego włączenia się poprzez udział w mobilnościach oraz w działaniach wirtualnych i stacjonarnych</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196"/>
        </w:trPr>
        <w:tc>
          <w:tcPr>
            <w:tcW w:w="302"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1.1.1.27</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Otwarte umysły - Otwarta przyszłość - zawodowe szkolenia dla społeczności szkolnej</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Zespół Szkół Gastronomiczno-Hotelarskich</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2025</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2026</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425 806</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356 739</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356 739</w:t>
            </w:r>
          </w:p>
        </w:tc>
      </w:tr>
      <w:tr>
        <w:tblPrEx>
          <w:tblW w:w="5000" w:type="pct"/>
          <w:tblCellMar>
            <w:left w:w="108" w:type="dxa"/>
            <w:right w:w="108" w:type="dxa"/>
          </w:tblCellMar>
        </w:tblPrEx>
        <w:trPr>
          <w:trHeight w:val="372"/>
        </w:trPr>
        <w:tc>
          <w:tcPr>
            <w:tcW w:w="302"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Podniesienie kompetencji zawodowych uczniów ze szczególnym zwróceniem uwagi na szkolenie zawodowe prowadzone w realnym środowisku pracy za granicą oraz podniesienie kompetencji zawodowych przez nauczycieli</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88"/>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1.1.1.28</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Zagraniczne mobilności zawodowe dla uczniów i kadry ZST</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Zespół Szkół Technicznych</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2025</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2026</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407 232</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375 608</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375 608</w:t>
            </w:r>
          </w:p>
        </w:tc>
      </w:tr>
      <w:tr>
        <w:tblPrEx>
          <w:tblW w:w="5000" w:type="pct"/>
          <w:tblCellMar>
            <w:left w:w="108" w:type="dxa"/>
            <w:right w:w="108" w:type="dxa"/>
          </w:tblCellMar>
        </w:tblPrEx>
        <w:trPr>
          <w:trHeight w:val="284"/>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Organizacja staży zawodowych oraz szkoleń zawodowych dla nauczycieli i uczniów ZST Bytom za granicą w celu pogłębiania umiejętności zawodowych</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CE" w:eastAsia="Arial CE" w:hAnsi="Arial CE" w:cs="Arial CE"/>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92"/>
        </w:trPr>
        <w:tc>
          <w:tcPr>
            <w:tcW w:w="302"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1.1.1.29</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Kompas kariery - Edukacja, doświadczenie, rozwój</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Technikum nr 4</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2025</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2026</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290 318</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200 318</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200 318</w:t>
            </w:r>
          </w:p>
        </w:tc>
      </w:tr>
      <w:tr>
        <w:tblPrEx>
          <w:tblW w:w="5000" w:type="pct"/>
          <w:tblCellMar>
            <w:left w:w="108" w:type="dxa"/>
            <w:right w:w="108" w:type="dxa"/>
          </w:tblCellMar>
        </w:tblPrEx>
        <w:trPr>
          <w:trHeight w:val="376"/>
        </w:trPr>
        <w:tc>
          <w:tcPr>
            <w:tcW w:w="302"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Podniesienie jakości kształcenia zawodowego oraz rozwój kompetencji kluczowych wśród uczniów i nauczycieli poprzez mobilności edukacyjne w ramach programu Erasmus+
w krajach Unii Europejskiej</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186"/>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1.1.1.30</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Budowa centrum przesiadkowego na terenie Gminy Bytom - Stroszek (koszty pośrednie)</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 xml:space="preserve">Miejski Zarząd 
Dróg i Mostów </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2025</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2028</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542 090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209 356</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130 860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201 874</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542 090</w:t>
            </w:r>
          </w:p>
        </w:tc>
      </w:tr>
      <w:tr>
        <w:tblPrEx>
          <w:tblW w:w="5000" w:type="pct"/>
          <w:tblCellMar>
            <w:left w:w="108" w:type="dxa"/>
            <w:right w:w="108" w:type="dxa"/>
          </w:tblCellMar>
        </w:tblPrEx>
        <w:trPr>
          <w:trHeight w:val="92"/>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Koszty pośrednie niezbędne do realizacji projektu</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CE" w:eastAsia="Arial CE" w:hAnsi="Arial CE" w:cs="Arial CE"/>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182"/>
        </w:trPr>
        <w:tc>
          <w:tcPr>
            <w:tcW w:w="302"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1.1.1.31</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Budowa regionalnych tras rowerowych w Bytomiu - etap I (koszty pośrednie)</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 xml:space="preserve">Miejski Zarząd 
Dróg i Mostów </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2025</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2027</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574 175</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246 285</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327 890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574 175</w:t>
            </w:r>
          </w:p>
        </w:tc>
      </w:tr>
      <w:tr>
        <w:tblPrEx>
          <w:tblW w:w="5000" w:type="pct"/>
          <w:tblCellMar>
            <w:left w:w="108" w:type="dxa"/>
            <w:right w:w="108" w:type="dxa"/>
          </w:tblCellMar>
        </w:tblPrEx>
        <w:trPr>
          <w:trHeight w:val="92"/>
        </w:trPr>
        <w:tc>
          <w:tcPr>
            <w:tcW w:w="302"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Koszty pośrednie niezbędne do realizacji projektu</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CE" w:eastAsia="Arial CE" w:hAnsi="Arial CE" w:cs="Arial CE"/>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182"/>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1.1.1.32</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Wsparcie na starcie - rozwój edukacji przedszkolnej w bytomskich Przedszkolach Miejskich nr 2 i 10</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Urząd Miejski w Bytomiu, Wydział Edukacji, Przedszkole Miejskie nr2, Przedszkole Miejskie nr10</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2025</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2027</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509 891</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396 570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113 321</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509 891</w:t>
            </w:r>
          </w:p>
        </w:tc>
      </w:tr>
      <w:tr>
        <w:tblPrEx>
          <w:tblW w:w="5000" w:type="pct"/>
          <w:tblCellMar>
            <w:left w:w="108" w:type="dxa"/>
            <w:right w:w="108" w:type="dxa"/>
          </w:tblCellMar>
        </w:tblPrEx>
        <w:trPr>
          <w:trHeight w:val="376"/>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Wsparcie edukacji przedszkolnej poprzez organizację zajęć dodatkowych, podniesienie kwalifikacji zawodowych kadry oraz doposażenie przedszkoli</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CE" w:eastAsia="Arial CE" w:hAnsi="Arial CE" w:cs="Arial CE"/>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210"/>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1.1.1.33</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W kierunku zmian - rozwój zawodowy pracowników PUP wobec wyzwań na rynku pracy</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 xml:space="preserve">Powiatowy Urząd Pracy </w:t>
            </w:r>
          </w:p>
        </w:tc>
        <w:tc>
          <w:tcPr>
            <w:tcW w:w="222"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2025</w:t>
            </w:r>
          </w:p>
        </w:tc>
        <w:tc>
          <w:tcPr>
            <w:tcW w:w="228"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2027</w:t>
            </w:r>
          </w:p>
        </w:tc>
        <w:tc>
          <w:tcPr>
            <w:tcW w:w="544"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779 567</w:t>
            </w:r>
          </w:p>
        </w:tc>
        <w:tc>
          <w:tcPr>
            <w:tcW w:w="464"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220 713</w:t>
            </w:r>
          </w:p>
        </w:tc>
        <w:tc>
          <w:tcPr>
            <w:tcW w:w="464"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558 854</w:t>
            </w:r>
          </w:p>
        </w:tc>
        <w:tc>
          <w:tcPr>
            <w:tcW w:w="464"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779 567</w:t>
            </w:r>
          </w:p>
        </w:tc>
      </w:tr>
      <w:tr>
        <w:tblPrEx>
          <w:tblW w:w="5000" w:type="pct"/>
          <w:tblCellMar>
            <w:left w:w="108" w:type="dxa"/>
            <w:right w:w="108" w:type="dxa"/>
          </w:tblCellMar>
        </w:tblPrEx>
        <w:trPr>
          <w:trHeight w:val="572"/>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Podniesienie kwalifikacji, kompetencji i potencjału pracowników Powiatowego Urzędu Pracy w Bytomiu, realizujących zadania z zakresu promocji zatrudnienia, łagodzenia skutków bezrobocia, aktywizacji zawodowej oraz przygotowanie ich do udzielania wysokiej jakości usług na rzecz osób dotkniętych negatywnymi skutkami procesu transformacji</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CE" w:eastAsia="Arial CE" w:hAnsi="Arial CE" w:cs="Arial CE"/>
                <w:b w:val="0"/>
                <w:i w:val="0"/>
                <w:strike w:val="0"/>
                <w:color w:val="000000"/>
                <w:sz w:val="14"/>
                <w:u w:val="none"/>
                <w:vertAlign w:val="baseline"/>
              </w:rPr>
            </w:pPr>
          </w:p>
        </w:tc>
        <w:tc>
          <w:tcPr>
            <w:tcW w:w="222"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228"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544"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196"/>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1.1.1.34</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Modernizacja energetyczna budynku przy ul. Smolenia 20 w Bytomiu (koszty pośrednie)</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Urząd Miejski w Bytomiu, Wydział Realizacji Inwestycji i Remontów, Wydział Kadr, Płac i Szkoleń, Wydział Administracyjny</w:t>
            </w:r>
          </w:p>
        </w:tc>
        <w:tc>
          <w:tcPr>
            <w:tcW w:w="222"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2025</w:t>
            </w:r>
          </w:p>
        </w:tc>
        <w:tc>
          <w:tcPr>
            <w:tcW w:w="228"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2026</w:t>
            </w:r>
          </w:p>
        </w:tc>
        <w:tc>
          <w:tcPr>
            <w:tcW w:w="544"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378 422</w:t>
            </w:r>
          </w:p>
        </w:tc>
        <w:tc>
          <w:tcPr>
            <w:tcW w:w="464"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378 422</w:t>
            </w:r>
          </w:p>
        </w:tc>
        <w:tc>
          <w:tcPr>
            <w:tcW w:w="464"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378 422</w:t>
            </w:r>
          </w:p>
        </w:tc>
      </w:tr>
      <w:tr>
        <w:tblPrEx>
          <w:tblW w:w="5000" w:type="pct"/>
          <w:tblCellMar>
            <w:left w:w="108" w:type="dxa"/>
            <w:right w:w="108" w:type="dxa"/>
          </w:tblCellMar>
        </w:tblPrEx>
        <w:trPr>
          <w:trHeight w:val="470"/>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Poprawa efektywności energetycznej budynku obejmująca zakres wynikający z opracowanego audytu energetycznego</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CE" w:eastAsia="Arial CE" w:hAnsi="Arial CE" w:cs="Arial CE"/>
                <w:b w:val="0"/>
                <w:i w:val="0"/>
                <w:strike w:val="0"/>
                <w:color w:val="000000"/>
                <w:sz w:val="14"/>
                <w:u w:val="none"/>
                <w:vertAlign w:val="baseline"/>
              </w:rPr>
            </w:pPr>
          </w:p>
        </w:tc>
        <w:tc>
          <w:tcPr>
            <w:tcW w:w="222"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228"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544"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98"/>
        </w:trPr>
        <w:tc>
          <w:tcPr>
            <w:tcW w:w="30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1.1.2</w:t>
            </w:r>
          </w:p>
        </w:tc>
        <w:tc>
          <w:tcPr>
            <w:tcW w:w="3448" w:type="dxa"/>
            <w:gridSpan w:val="4"/>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 wydatki majątkowe</w:t>
            </w:r>
          </w:p>
        </w:tc>
        <w:tc>
          <w:tcPr>
            <w:tcW w:w="54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304 784 479</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60 771 633</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15 699 521</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12 401 348</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72 234 980</w:t>
            </w:r>
          </w:p>
        </w:tc>
      </w:tr>
      <w:tr>
        <w:tblPrEx>
          <w:tblW w:w="5000" w:type="pct"/>
          <w:tblCellMar>
            <w:left w:w="108" w:type="dxa"/>
            <w:right w:w="108" w:type="dxa"/>
          </w:tblCellMar>
        </w:tblPrEx>
        <w:trPr>
          <w:trHeight w:val="270"/>
        </w:trPr>
        <w:tc>
          <w:tcPr>
            <w:tcW w:w="302"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1.1.2.1</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Poprawa efektywności energetycznej w budynkach wielorodzinnych na terenie Górnośląsko-Zagłębiowskiej Metropolii</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Urząd Miejski w Bytomiu, Wydział Lokalowy, Bytomskie Mieszkania</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2023</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2027</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2 997 935</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1 552 491</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1 257 392</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2 809 883</w:t>
            </w:r>
          </w:p>
        </w:tc>
      </w:tr>
      <w:tr>
        <w:tblPrEx>
          <w:tblW w:w="5000" w:type="pct"/>
          <w:tblCellMar>
            <w:left w:w="108" w:type="dxa"/>
            <w:right w:w="108" w:type="dxa"/>
          </w:tblCellMar>
        </w:tblPrEx>
        <w:trPr>
          <w:trHeight w:val="278"/>
        </w:trPr>
        <w:tc>
          <w:tcPr>
            <w:tcW w:w="302"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Realizacja inwestycji z udziałem środków Europejskiego Banku Inwestycyjnego w ramach European Local Assistance Facility (ELENA) finansowanej z inicjatywy Programu Horyzont 2020</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r>
      <w:tr>
        <w:tblPrEx>
          <w:tblW w:w="5000" w:type="pct"/>
          <w:tblCellMar>
            <w:left w:w="108" w:type="dxa"/>
            <w:right w:w="108" w:type="dxa"/>
          </w:tblCellMar>
        </w:tblPrEx>
        <w:trPr>
          <w:trHeight w:val="186"/>
        </w:trPr>
        <w:tc>
          <w:tcPr>
            <w:tcW w:w="302"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1.1.2.2</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Remont i poprawa stanu technicznego budynku Bytomskiego Centrum Kultury oraz zakup wyposażenia</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Urząd Miejski
w Bytomiu, Wydział Kultury i Sportu, Bytomskie Centrum Kultury</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2024</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2026</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17 474 597</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3 683 384</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3 683 384</w:t>
            </w:r>
          </w:p>
        </w:tc>
      </w:tr>
      <w:tr>
        <w:tblPrEx>
          <w:tblW w:w="5000" w:type="pct"/>
          <w:tblCellMar>
            <w:left w:w="108" w:type="dxa"/>
            <w:right w:w="108" w:type="dxa"/>
          </w:tblCellMar>
        </w:tblPrEx>
        <w:trPr>
          <w:trHeight w:val="552"/>
        </w:trPr>
        <w:tc>
          <w:tcPr>
            <w:tcW w:w="302"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Modernizacja budynku Bytomskiego Centrum Kultury oraz doposażenie BCK i jego filii w celu uatrakcyjnienia oferty kulturalnej i zwiększenia  integracji społecznej mieszkańców Bytomia. W ramach zadania planuje się
m. in. modernizację dachu, klimatyzacji i wentylacji oraz zakup projektora</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CE" w:eastAsia="Arial CE" w:hAnsi="Arial CE" w:cs="Arial CE"/>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r>
      <w:tr>
        <w:tblPrEx>
          <w:tblW w:w="5000" w:type="pct"/>
          <w:tblCellMar>
            <w:left w:w="108" w:type="dxa"/>
            <w:right w:w="108" w:type="dxa"/>
          </w:tblCellMar>
        </w:tblPrEx>
        <w:trPr>
          <w:trHeight w:val="186"/>
        </w:trPr>
        <w:tc>
          <w:tcPr>
            <w:tcW w:w="302"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1.1.2.3</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Podniesienie poziomu cyberbezpieczeństwa Gminy Bytom
(w zakresie wydatków majątkowych)</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Urząd Miejski 
w Bytomiu, Wydział Informatyki, Wydział Edukacji</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2024</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2026</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693 645</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693 645</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693 645</w:t>
            </w:r>
          </w:p>
        </w:tc>
      </w:tr>
      <w:tr>
        <w:tblPrEx>
          <w:tblW w:w="5000" w:type="pct"/>
          <w:tblCellMar>
            <w:left w:w="108" w:type="dxa"/>
            <w:right w:w="108" w:type="dxa"/>
          </w:tblCellMar>
        </w:tblPrEx>
        <w:trPr>
          <w:trHeight w:val="326"/>
        </w:trPr>
        <w:tc>
          <w:tcPr>
            <w:tcW w:w="302"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Zniwelowanie niedoborów w obszarach bezpieczeństwa informacji Urzędu Miejskiego poprzez szkolenia i rozbudowę sieci komputerowej o elementy podnoszące poziom bezpieczeństwa</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r>
      <w:tr>
        <w:tblPrEx>
          <w:tblW w:w="5000" w:type="pct"/>
          <w:tblCellMar>
            <w:left w:w="108" w:type="dxa"/>
            <w:right w:w="108" w:type="dxa"/>
          </w:tblCellMar>
        </w:tblPrEx>
        <w:trPr>
          <w:trHeight w:val="186"/>
        </w:trPr>
        <w:tc>
          <w:tcPr>
            <w:tcW w:w="302"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1.1.2.4</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Rozwój energetyki rozproszonej opartej o odnawialne źródła energii na terenie Gminy Bytom i Radzionków</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Urząd Miejski w Bytomiu, Wydział Inżynierii Środowiska, Wydział Komunikacji Medialnej i Promocji</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2024</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2026</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32 963 000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9 958 900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9 958 900</w:t>
            </w:r>
          </w:p>
        </w:tc>
      </w:tr>
      <w:tr>
        <w:tblPrEx>
          <w:tblW w:w="5000" w:type="pct"/>
          <w:tblCellMar>
            <w:left w:w="108" w:type="dxa"/>
            <w:right w:w="108" w:type="dxa"/>
          </w:tblCellMar>
        </w:tblPrEx>
        <w:trPr>
          <w:trHeight w:val="692"/>
        </w:trPr>
        <w:tc>
          <w:tcPr>
            <w:tcW w:w="302"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Poprawa jakości powietrza, w tym ograniczenie emisji CO2 oraz pyłu PM10 poprzez zwiększenie poziomu produkcji energii ze źródeł odnawialnych tj. instalacji PV (fotowoltaicznych), magazynów energii, instalacji pomp ciepła, systemów zarządzania energią. Program skierowany jest dla mieszkańców Gminy Bytom, którzy mogą otrzymać maksymalny, dopuszczalny poziom dofinansowania kosztów kwalifikowanych do 85% poniesionych kosztów</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186"/>
        </w:trPr>
        <w:tc>
          <w:tcPr>
            <w:tcW w:w="302"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1.1.2.5</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Utworzenie Żłobka Miejskiego nr 3 w budynku przy ul. Strzelców Bytomskich 248 w Bytomiu (KPO)</w:t>
            </w:r>
          </w:p>
        </w:tc>
        <w:tc>
          <w:tcPr>
            <w:tcW w:w="786"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Urząd Miejski w Bytomiu, Wydział Realizacji Inwestycji i Remontów</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2023</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2026</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3 396 454</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3 396 454</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512 104</w:t>
            </w:r>
          </w:p>
        </w:tc>
      </w:tr>
      <w:tr>
        <w:tblPrEx>
          <w:tblW w:w="5000" w:type="pct"/>
          <w:tblCellMar>
            <w:left w:w="108" w:type="dxa"/>
            <w:right w:w="108" w:type="dxa"/>
          </w:tblCellMar>
        </w:tblPrEx>
        <w:trPr>
          <w:trHeight w:val="380"/>
        </w:trPr>
        <w:tc>
          <w:tcPr>
            <w:tcW w:w="302"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Wybudowanie nowego budynku, połączonego z istniejącym budynkiem Przedszkola Miejskiego nr 63 przy ul. Strzelców Bytomskich 248 w Bytomiu na potrzeby oddziału żłobkowego, spełniających standardy obowiązujące w tego typu placówkach</w:t>
            </w:r>
          </w:p>
        </w:tc>
        <w:tc>
          <w:tcPr>
            <w:tcW w:w="786"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270"/>
        </w:trPr>
        <w:tc>
          <w:tcPr>
            <w:tcW w:w="302"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1.1.2.6</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Adaptacja i dostosowanie budynku Żłobka Miejskiego nr 1 w celu utworzenia 10 miejsc dla dzieci w wieku do lat 3 w ramach programu "MALUCH+ 2022-2029" (KPO)</w:t>
            </w:r>
          </w:p>
        </w:tc>
        <w:tc>
          <w:tcPr>
            <w:tcW w:w="786"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Zespół Żłobków Miejskich w Bytomiu</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2024</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2026</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707 595</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405 015</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405 015</w:t>
            </w:r>
          </w:p>
        </w:tc>
      </w:tr>
      <w:tr>
        <w:tblPrEx>
          <w:tblW w:w="5000" w:type="pct"/>
          <w:tblCellMar>
            <w:left w:w="108" w:type="dxa"/>
            <w:right w:w="108" w:type="dxa"/>
          </w:tblCellMar>
        </w:tblPrEx>
        <w:trPr>
          <w:trHeight w:val="190"/>
        </w:trPr>
        <w:tc>
          <w:tcPr>
            <w:tcW w:w="302"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Dostosowanie pomieszczeń w celu utworzenia i wyposażenia m.in. sali rehabilitacyjnej i neurologicznej</w:t>
            </w:r>
          </w:p>
        </w:tc>
        <w:tc>
          <w:tcPr>
            <w:tcW w:w="786"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278"/>
        </w:trPr>
        <w:tc>
          <w:tcPr>
            <w:tcW w:w="302"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1.1.2.7</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Adaptacja budynku przy ul. Jana Smolenia 20 w Bytomiu na potrzeby przedszkola miejskiego oraz oddziału żłobkowego (Polski Ład, KPO)</w:t>
            </w:r>
          </w:p>
        </w:tc>
        <w:tc>
          <w:tcPr>
            <w:tcW w:w="786"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Urząd Miejski w Bytomiu, Wydział Realizacji Inwestycji i Remontów</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2023</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2026</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11 409 757</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9 006 736</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1 172 100</w:t>
            </w:r>
          </w:p>
        </w:tc>
      </w:tr>
      <w:tr>
        <w:tblPrEx>
          <w:tblW w:w="5000" w:type="pct"/>
          <w:tblCellMar>
            <w:left w:w="108" w:type="dxa"/>
            <w:right w:w="108" w:type="dxa"/>
          </w:tblCellMar>
        </w:tblPrEx>
        <w:trPr>
          <w:trHeight w:val="562"/>
        </w:trPr>
        <w:tc>
          <w:tcPr>
            <w:tcW w:w="302"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Dostosowanie budynku przy ul. Jana Smolenia 20 w Bytomiu na potrzeby 8 oddziałowego przedszkola z oddziałem żłobkowym, spełniających standardy obowiązujące w tego typu placówkach. Obiekt zostanie zaprojektowany bez barier architektonicznych, co umożliwi dostęp osobom niepełnosprawnym na wszystkie kondygnacje przedszkola</w:t>
            </w:r>
          </w:p>
        </w:tc>
        <w:tc>
          <w:tcPr>
            <w:tcW w:w="786"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186"/>
        </w:trPr>
        <w:tc>
          <w:tcPr>
            <w:tcW w:w="302"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1.1.2.8</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Budowa Punktu Selektywnej Zbiórki Odpadów Komunalnych (PSZOK) dla mieszkańców Bytomia</w:t>
            </w:r>
          </w:p>
        </w:tc>
        <w:tc>
          <w:tcPr>
            <w:tcW w:w="786"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Urząd Miejski w Bytomiu, Wydział Gospodarowania Odpadami Komunalnymi</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2024</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2027</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2 000 000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150 000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150 000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300 000</w:t>
            </w:r>
          </w:p>
        </w:tc>
      </w:tr>
      <w:tr>
        <w:tblPrEx>
          <w:tblW w:w="5000" w:type="pct"/>
          <w:tblCellMar>
            <w:left w:w="108" w:type="dxa"/>
            <w:right w:w="108" w:type="dxa"/>
          </w:tblCellMar>
        </w:tblPrEx>
        <w:trPr>
          <w:trHeight w:val="284"/>
        </w:trPr>
        <w:tc>
          <w:tcPr>
            <w:tcW w:w="302"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Poprawa systemu zagospodarowania odpadów komunalnych na terenie gminy Bytom</w:t>
            </w:r>
          </w:p>
        </w:tc>
        <w:tc>
          <w:tcPr>
            <w:tcW w:w="786"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190"/>
        </w:trPr>
        <w:tc>
          <w:tcPr>
            <w:tcW w:w="302"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1.1.2.9</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Budowa węzła przesiadkowego na Placu Wolskiego w Bytomiu wraz z przystosowaniem układu komunikacyjnego</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 xml:space="preserve">Miejski Zarząd Dróg i Mostów </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2013</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2026</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114 737 297</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1 000</w:t>
            </w:r>
          </w:p>
        </w:tc>
      </w:tr>
      <w:tr>
        <w:tblPrEx>
          <w:tblW w:w="5000" w:type="pct"/>
          <w:tblCellMar>
            <w:left w:w="108" w:type="dxa"/>
            <w:right w:w="108" w:type="dxa"/>
          </w:tblCellMar>
        </w:tblPrEx>
        <w:trPr>
          <w:trHeight w:val="682"/>
        </w:trPr>
        <w:tc>
          <w:tcPr>
            <w:tcW w:w="302"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Stworzenie sprawnego i zintegrowanego transportu miejskiego poprzez usytuowanie w jednym miejscu stanowisk postojowych dla różnych środków transportu wraz z parkingiem dla pojazdów osobowych, umożliwiających przesiadkę z indywidualnego środka transportu na zbiorowy i odwrotnie. Stworzenie przyjaznej przestrzeni dla przemieszczania się pieszych pomiędzy dworcem autobusowym, kolejowym i śródmieściem</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CE" w:eastAsia="Arial CE" w:hAnsi="Arial CE" w:cs="Arial CE"/>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CE" w:eastAsia="Arial CE" w:hAnsi="Arial CE" w:cs="Arial CE"/>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186"/>
        </w:trPr>
        <w:tc>
          <w:tcPr>
            <w:tcW w:w="302"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1.1.2.10</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Modernizacja i doposażenie pracowni - podniesienie jakości kształcenia zawodowego w Bytomiu</w:t>
            </w:r>
          </w:p>
        </w:tc>
        <w:tc>
          <w:tcPr>
            <w:tcW w:w="786"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Urząd Miejski w Bytomiu, Wydział Edukacji, Wydział Realizacji Inwestycji
i Remontów</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2025</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2026</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5 493 002</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5 247 002</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3 353 849</w:t>
            </w:r>
          </w:p>
        </w:tc>
      </w:tr>
      <w:tr>
        <w:tblPrEx>
          <w:tblW w:w="5000" w:type="pct"/>
          <w:tblCellMar>
            <w:left w:w="108" w:type="dxa"/>
            <w:right w:w="108" w:type="dxa"/>
          </w:tblCellMar>
        </w:tblPrEx>
        <w:trPr>
          <w:trHeight w:val="464"/>
        </w:trPr>
        <w:tc>
          <w:tcPr>
            <w:tcW w:w="302"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 xml:space="preserve">Poprawa infrastruktury kształcenia zawodowego w Bytomiu w dwóch zespołach szkół zawodowych: Zespole Szkół Technicznych i Państwowych Szkołach Budownictwa-Zespole Szkół poprzez modernizację pomieszczeń pracowni oraz zakup pierwszego wyposażenia </w:t>
            </w:r>
          </w:p>
        </w:tc>
        <w:tc>
          <w:tcPr>
            <w:tcW w:w="786"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186"/>
        </w:trPr>
        <w:tc>
          <w:tcPr>
            <w:tcW w:w="302"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1.1.2.11</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Mobilna Metropolia - Budowa Centrów Przesiadkowych na terenie gminy Bytom</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 xml:space="preserve">Miejski Zarząd Dróg i Mostów </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2023</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2028</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60 152 435</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1 769 868</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7 353 127</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9 230 688</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18 353 683</w:t>
            </w:r>
          </w:p>
        </w:tc>
      </w:tr>
      <w:tr>
        <w:tblPrEx>
          <w:tblW w:w="5000" w:type="pct"/>
          <w:tblCellMar>
            <w:left w:w="108" w:type="dxa"/>
            <w:right w:w="108" w:type="dxa"/>
          </w:tblCellMar>
        </w:tblPrEx>
        <w:trPr>
          <w:trHeight w:val="172"/>
        </w:trPr>
        <w:tc>
          <w:tcPr>
            <w:tcW w:w="302"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Poprawa bezpieczeństwa oraz usprawnienie ruchu kołowego i pieszego</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CE" w:eastAsia="Arial CE" w:hAnsi="Arial CE" w:cs="Arial CE"/>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92"/>
        </w:trPr>
        <w:tc>
          <w:tcPr>
            <w:tcW w:w="302"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1.1.2.12</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Budowa regionalnych tras rowerowych w Bytomiu - etap I</w:t>
            </w:r>
          </w:p>
        </w:tc>
        <w:tc>
          <w:tcPr>
            <w:tcW w:w="786"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 xml:space="preserve">Miejski Zarząd Dróg i Mostów </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2025</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2027</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8 422 497</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3 598 806</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4 823 691</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8 422 497</w:t>
            </w:r>
          </w:p>
        </w:tc>
      </w:tr>
      <w:tr>
        <w:tblPrEx>
          <w:tblW w:w="5000" w:type="pct"/>
          <w:tblCellMar>
            <w:left w:w="108" w:type="dxa"/>
            <w:right w:w="108" w:type="dxa"/>
          </w:tblCellMar>
        </w:tblPrEx>
        <w:trPr>
          <w:trHeight w:val="372"/>
        </w:trPr>
        <w:tc>
          <w:tcPr>
            <w:tcW w:w="302"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Rozwój zintegrowanego i przyjaznego środowisku systemu transportu indywidualnego jakim jest system transportu rowerowego na terenie gminy Bytom, będący krokiem
w kierunku transformacji ku gospodarce zeroemisyjnej
</w:t>
            </w:r>
          </w:p>
        </w:tc>
        <w:tc>
          <w:tcPr>
            <w:tcW w:w="786"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182"/>
        </w:trPr>
        <w:tc>
          <w:tcPr>
            <w:tcW w:w="302"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1.1.2.13</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Modernizacja energetyczna budynku Szkoły Podstawowej
nr 6 przy ul. Królowej Jadwigi w Bytomiu</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Urząd Miejski w Bytomiu, Wydział Realizacji Inwestycji i Remontów</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2025</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2026</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4 972 163</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4 972 163</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4 972 163</w:t>
            </w:r>
          </w:p>
        </w:tc>
      </w:tr>
      <w:tr>
        <w:tblPrEx>
          <w:tblW w:w="5000" w:type="pct"/>
          <w:tblCellMar>
            <w:left w:w="108" w:type="dxa"/>
            <w:right w:w="108" w:type="dxa"/>
          </w:tblCellMar>
        </w:tblPrEx>
        <w:trPr>
          <w:trHeight w:val="200"/>
        </w:trPr>
        <w:tc>
          <w:tcPr>
            <w:tcW w:w="302"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Poprawa efektywności energetycznej budynku obejmująca zakres wynikający z opracowanego audytu energetycznego</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r>
      <w:tr>
        <w:tblPrEx>
          <w:tblW w:w="5000" w:type="pct"/>
          <w:tblCellMar>
            <w:left w:w="108" w:type="dxa"/>
            <w:right w:w="108" w:type="dxa"/>
          </w:tblCellMar>
        </w:tblPrEx>
        <w:trPr>
          <w:trHeight w:val="190"/>
        </w:trPr>
        <w:tc>
          <w:tcPr>
            <w:tcW w:w="302"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1.1.2.14</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Modernizacja energetyczna budynków Przedszkola Miejskiego nr 24 i Przedszkola Miejskiego nr 44</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Urząd Miejski w Bytomiu, Wydział Realizacji Inwestycji i Remontów</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2025</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2026</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2 675 664</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2 675 664</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2 675 664</w:t>
            </w:r>
          </w:p>
        </w:tc>
      </w:tr>
      <w:tr>
        <w:tblPrEx>
          <w:tblW w:w="5000" w:type="pct"/>
          <w:tblCellMar>
            <w:left w:w="108" w:type="dxa"/>
            <w:right w:w="108" w:type="dxa"/>
          </w:tblCellMar>
        </w:tblPrEx>
        <w:trPr>
          <w:trHeight w:val="210"/>
        </w:trPr>
        <w:tc>
          <w:tcPr>
            <w:tcW w:w="302"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Poprawa efektywności energetycznej budynku obejmująca zakres wynikający z opracowanego audytu energetycznego</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186"/>
        </w:trPr>
        <w:tc>
          <w:tcPr>
            <w:tcW w:w="302"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1.1.2.15</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Modernizacja energetyczna budynku przy ul. Smolenia 20 w Bytomiu</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Urząd Miejski w Bytomiu, Wydział Realizacji Inwestycji i Remontów</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2025</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2026</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5 020 161</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4 641 739</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616 356</w:t>
            </w:r>
          </w:p>
        </w:tc>
      </w:tr>
      <w:tr>
        <w:tblPrEx>
          <w:tblW w:w="5000" w:type="pct"/>
          <w:tblCellMar>
            <w:left w:w="108" w:type="dxa"/>
            <w:right w:w="108" w:type="dxa"/>
          </w:tblCellMar>
        </w:tblPrEx>
        <w:trPr>
          <w:trHeight w:val="182"/>
        </w:trPr>
        <w:tc>
          <w:tcPr>
            <w:tcW w:w="302"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Poprawa efektywności energetycznej budynku obejmująca zakres wynikający z opracowanego audytu energetycznego</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274"/>
        </w:trPr>
        <w:tc>
          <w:tcPr>
            <w:tcW w:w="302"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1.1.2.16</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Modernizacja energetyczna budynków przedszkoli miejskich w Bytomiu (Przedszkole Miejskiej nr 36, Przedszkole Miejskie nr 51 i Przedszkole Miejskie nr 52)</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Urząd Miejski w Bytomiu, Wydział Realizacji Inwestycji i Remontów</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2025</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2026</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3 970 151</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3 970 151</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3 970 151</w:t>
            </w:r>
          </w:p>
        </w:tc>
      </w:tr>
      <w:tr>
        <w:tblPrEx>
          <w:tblW w:w="5000" w:type="pct"/>
          <w:tblCellMar>
            <w:left w:w="108" w:type="dxa"/>
            <w:right w:w="108" w:type="dxa"/>
          </w:tblCellMar>
        </w:tblPrEx>
        <w:trPr>
          <w:trHeight w:val="274"/>
        </w:trPr>
        <w:tc>
          <w:tcPr>
            <w:tcW w:w="302"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Poprawa efektywności energetycznej budynków przedszkoli miejskich w Bytomiu, obejmująca zakres wynikający z opracowania audytu energetycznego</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196"/>
        </w:trPr>
        <w:tc>
          <w:tcPr>
            <w:tcW w:w="302"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1.1.2.18</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Budowa centrum przesiadkowego  na terenie Gminy Bytom - Stroszek</w:t>
            </w:r>
          </w:p>
        </w:tc>
        <w:tc>
          <w:tcPr>
            <w:tcW w:w="786"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 xml:space="preserve">Miejski Zarząd Dróg i Mostów </w:t>
            </w:r>
          </w:p>
        </w:tc>
        <w:tc>
          <w:tcPr>
            <w:tcW w:w="222"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2025</w:t>
            </w:r>
          </w:p>
        </w:tc>
        <w:tc>
          <w:tcPr>
            <w:tcW w:w="228"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2028</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8 514 126</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3 288 155</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2 055 311</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3 170 660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8 514 126</w:t>
            </w:r>
          </w:p>
        </w:tc>
      </w:tr>
      <w:tr>
        <w:tblPrEx>
          <w:tblW w:w="5000" w:type="pct"/>
          <w:tblCellMar>
            <w:left w:w="108" w:type="dxa"/>
            <w:right w:w="108" w:type="dxa"/>
          </w:tblCellMar>
        </w:tblPrEx>
        <w:trPr>
          <w:trHeight w:val="270"/>
        </w:trPr>
        <w:tc>
          <w:tcPr>
            <w:tcW w:w="302"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Budowa centrum przesiadkowego na terenie Gminy Bytom
w rejonie węzłowych przystanków komunikacji publicznej - Stroszek</w:t>
            </w:r>
          </w:p>
        </w:tc>
        <w:tc>
          <w:tcPr>
            <w:tcW w:w="786"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r>
      <w:tr>
        <w:tblPrEx>
          <w:tblW w:w="5000" w:type="pct"/>
          <w:tblCellMar>
            <w:left w:w="108" w:type="dxa"/>
            <w:right w:w="108" w:type="dxa"/>
          </w:tblCellMar>
        </w:tblPrEx>
        <w:trPr>
          <w:trHeight w:val="88"/>
        </w:trPr>
        <w:tc>
          <w:tcPr>
            <w:tcW w:w="302"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1.1.2.19</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Dostępny samorząd 2.0</w:t>
            </w:r>
          </w:p>
        </w:tc>
        <w:tc>
          <w:tcPr>
            <w:tcW w:w="786"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Urząd Miejski w Bytomiu, Wydział Administracyjny</w:t>
            </w:r>
          </w:p>
        </w:tc>
        <w:tc>
          <w:tcPr>
            <w:tcW w:w="222"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2025</w:t>
            </w:r>
          </w:p>
        </w:tc>
        <w:tc>
          <w:tcPr>
            <w:tcW w:w="228"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2027</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300 000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240 000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60 000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300 000</w:t>
            </w:r>
          </w:p>
        </w:tc>
      </w:tr>
      <w:tr>
        <w:tblPrEx>
          <w:tblW w:w="5000" w:type="pct"/>
          <w:tblCellMar>
            <w:left w:w="108" w:type="dxa"/>
            <w:right w:w="108" w:type="dxa"/>
          </w:tblCellMar>
        </w:tblPrEx>
        <w:trPr>
          <w:trHeight w:val="190"/>
        </w:trPr>
        <w:tc>
          <w:tcPr>
            <w:tcW w:w="302"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Poprawa dostępności obiektów, przestrzeni oraz usług publicznych świadczonych dla osób ze szczególnymi potrzebami</w:t>
            </w:r>
          </w:p>
        </w:tc>
        <w:tc>
          <w:tcPr>
            <w:tcW w:w="786"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r>
      <w:tr>
        <w:tblPrEx>
          <w:tblW w:w="5000" w:type="pct"/>
          <w:tblCellMar>
            <w:left w:w="108" w:type="dxa"/>
            <w:right w:w="108" w:type="dxa"/>
          </w:tblCellMar>
        </w:tblPrEx>
        <w:trPr>
          <w:trHeight w:val="190"/>
        </w:trPr>
        <w:tc>
          <w:tcPr>
            <w:tcW w:w="302"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1.1.2.20</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Rozwój energetyki rozproszonej opartej o odnawialne źródła energii na terenie Gminy Bytom</w:t>
            </w:r>
          </w:p>
        </w:tc>
        <w:tc>
          <w:tcPr>
            <w:tcW w:w="786"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Urząd Miejski, Wydział Inżynierii Środowiska, Wydział Realizacji Inwestycji i Remontów</w:t>
            </w:r>
          </w:p>
        </w:tc>
        <w:tc>
          <w:tcPr>
            <w:tcW w:w="222"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2024</w:t>
            </w:r>
          </w:p>
        </w:tc>
        <w:tc>
          <w:tcPr>
            <w:tcW w:w="228"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2026</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18 884 000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1 520 460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1 520 460</w:t>
            </w:r>
          </w:p>
        </w:tc>
      </w:tr>
      <w:tr>
        <w:tblPrEx>
          <w:tblW w:w="5000" w:type="pct"/>
          <w:tblCellMar>
            <w:left w:w="108" w:type="dxa"/>
            <w:right w:w="108" w:type="dxa"/>
          </w:tblCellMar>
        </w:tblPrEx>
        <w:trPr>
          <w:trHeight w:val="190"/>
        </w:trPr>
        <w:tc>
          <w:tcPr>
            <w:tcW w:w="302"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Poprawa jakości powietrza, w tym ograniczenie emisji CO2 oraz pyłu PM10 poprzez zwiększenie poziomu produkcji energii ze źródeł odnawialnych tj. instalacji PV (fotowoltaicznych), magazynów energii, instalacji pomp ciepła, systemów zarządzania energią. Program skierowany jest dla mieszkańców Gminy Bytom, którzy mogą otrzymać maksymalny, dopuszczalny poziom dofinansowania kosztów kwalifikowanych do 85% poniesionych kosztów</w:t>
            </w:r>
          </w:p>
        </w:tc>
        <w:tc>
          <w:tcPr>
            <w:tcW w:w="786"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r>
      <w:tr>
        <w:tblPrEx>
          <w:tblW w:w="5000" w:type="pct"/>
          <w:tblCellMar>
            <w:left w:w="108" w:type="dxa"/>
            <w:right w:w="108" w:type="dxa"/>
          </w:tblCellMar>
        </w:tblPrEx>
        <w:trPr>
          <w:trHeight w:val="98"/>
        </w:trPr>
        <w:tc>
          <w:tcPr>
            <w:tcW w:w="30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1.2.2</w:t>
            </w:r>
          </w:p>
        </w:tc>
        <w:tc>
          <w:tcPr>
            <w:tcW w:w="3448" w:type="dxa"/>
            <w:gridSpan w:val="4"/>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 wydatki majątkowe</w:t>
            </w:r>
          </w:p>
        </w:tc>
        <w:tc>
          <w:tcPr>
            <w:tcW w:w="54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49 736 980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3 470 806</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3 470 806</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3 470 806</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2 298 974</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658 407</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0</w:t>
            </w:r>
          </w:p>
        </w:tc>
      </w:tr>
      <w:tr>
        <w:tblPrEx>
          <w:tblW w:w="5000" w:type="pct"/>
          <w:tblCellMar>
            <w:left w:w="108" w:type="dxa"/>
            <w:right w:w="108" w:type="dxa"/>
          </w:tblCellMar>
        </w:tblPrEx>
        <w:trPr>
          <w:trHeight w:val="186"/>
        </w:trPr>
        <w:tc>
          <w:tcPr>
            <w:tcW w:w="302"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1.2.2.1</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Termomodernizacje budynków placówek oświatowych
w Bytomiu</w:t>
            </w:r>
          </w:p>
        </w:tc>
        <w:tc>
          <w:tcPr>
            <w:tcW w:w="786"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Urząd Miejski w Bytomiu, Wydział Realizacji Inwestycji i Remontów, Wydział Edukacji</w:t>
            </w:r>
          </w:p>
        </w:tc>
        <w:tc>
          <w:tcPr>
            <w:tcW w:w="222"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2012</w:t>
            </w:r>
          </w:p>
        </w:tc>
        <w:tc>
          <w:tcPr>
            <w:tcW w:w="228"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2030</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49 736 980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3 470 806</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3 470 806</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3 470 806</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2 298 974</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658 407</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0</w:t>
            </w:r>
          </w:p>
        </w:tc>
      </w:tr>
      <w:tr>
        <w:tblPrEx>
          <w:tblW w:w="5000" w:type="pct"/>
          <w:tblCellMar>
            <w:left w:w="108" w:type="dxa"/>
            <w:right w:w="108" w:type="dxa"/>
          </w:tblCellMar>
        </w:tblPrEx>
        <w:trPr>
          <w:trHeight w:val="270"/>
        </w:trPr>
        <w:tc>
          <w:tcPr>
            <w:tcW w:w="302"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Zwiększenie energooszczędności budynków szkół</w:t>
            </w:r>
          </w:p>
        </w:tc>
        <w:tc>
          <w:tcPr>
            <w:tcW w:w="786"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r>
      <w:tr>
        <w:tblPrEx>
          <w:tblW w:w="5000" w:type="pct"/>
          <w:tblCellMar>
            <w:left w:w="108" w:type="dxa"/>
            <w:right w:w="108" w:type="dxa"/>
          </w:tblCellMar>
        </w:tblPrEx>
        <w:trPr>
          <w:trHeight w:val="98"/>
        </w:trPr>
        <w:tc>
          <w:tcPr>
            <w:tcW w:w="30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1.3</w:t>
            </w:r>
          </w:p>
        </w:tc>
        <w:tc>
          <w:tcPr>
            <w:tcW w:w="3448" w:type="dxa"/>
            <w:gridSpan w:val="4"/>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Wydatki na programy, projekty lub zadania pozostałe (inne niż wymienione w pkt 1.1 i 1.2), 
z tego:</w:t>
            </w:r>
          </w:p>
        </w:tc>
        <w:tc>
          <w:tcPr>
            <w:tcW w:w="54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742 283 020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126 986 331</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98 096 850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72 050 961</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32 935 376</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21 792 918</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21 004 700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21 004 700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21 004 700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21 004 700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21 004 700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3 500 800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286 002 993</w:t>
            </w:r>
          </w:p>
        </w:tc>
      </w:tr>
      <w:tr>
        <w:tblPrEx>
          <w:tblW w:w="5000" w:type="pct"/>
          <w:tblCellMar>
            <w:left w:w="108" w:type="dxa"/>
            <w:right w:w="108" w:type="dxa"/>
          </w:tblCellMar>
        </w:tblPrEx>
        <w:trPr>
          <w:trHeight w:val="98"/>
        </w:trPr>
        <w:tc>
          <w:tcPr>
            <w:tcW w:w="30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1.3.1</w:t>
            </w:r>
          </w:p>
        </w:tc>
        <w:tc>
          <w:tcPr>
            <w:tcW w:w="3448" w:type="dxa"/>
            <w:gridSpan w:val="4"/>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 wydatki bieżące</w:t>
            </w:r>
          </w:p>
        </w:tc>
        <w:tc>
          <w:tcPr>
            <w:tcW w:w="54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554 656 696</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53 079 409</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53 257 141</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40 579 935</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32 935 376</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21 792 918</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21 004 700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21 004 700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21 004 700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21 004 700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21 004 700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3 500 800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240 042 225</w:t>
            </w:r>
          </w:p>
        </w:tc>
      </w:tr>
      <w:tr>
        <w:tblPrEx>
          <w:tblW w:w="5000" w:type="pct"/>
          <w:tblCellMar>
            <w:left w:w="108" w:type="dxa"/>
            <w:right w:w="108" w:type="dxa"/>
          </w:tblCellMar>
        </w:tblPrEx>
        <w:trPr>
          <w:trHeight w:val="176"/>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1.3.1.1</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Zarządzanie systemem informatycznym Urzędu Miejskiego
w Bytomiu – utrzymanie i rozwój</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Urząd Miejski 
w Bytomiu, 
Wydział Informatyki</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2011</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2027</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24 320 078</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2 700 000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2 700 000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5 400 000</w:t>
            </w:r>
          </w:p>
        </w:tc>
      </w:tr>
      <w:tr>
        <w:tblPrEx>
          <w:tblW w:w="5000" w:type="pct"/>
          <w:tblCellMar>
            <w:left w:w="108" w:type="dxa"/>
            <w:right w:w="108" w:type="dxa"/>
          </w:tblCellMar>
        </w:tblPrEx>
        <w:trPr>
          <w:trHeight w:val="186"/>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Wspomaganie działania Urzędu Miejskiego w Bytomiu poprzez zastosowanie narzędzi informatycznych</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380"/>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1.3.1.2</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Pokrywanie kosztów utrzymania dzieci, będących mieszkańcami Bytomia, a umieszczonych w rodzinnej pieczy zastępczej na terenie innych powiatów na podstawie porozumień między powiatami</w:t>
            </w:r>
          </w:p>
        </w:tc>
        <w:tc>
          <w:tcPr>
            <w:tcW w:w="786"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Urząd Miejski w Bytomiu, Wydział Polityki Społecznej, Miejski Ośrodek Pomocy Rodzinie</w:t>
            </w:r>
          </w:p>
        </w:tc>
        <w:tc>
          <w:tcPr>
            <w:tcW w:w="222"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2012</w:t>
            </w:r>
          </w:p>
        </w:tc>
        <w:tc>
          <w:tcPr>
            <w:tcW w:w="228"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2028</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29 898 404</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2 600 000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2 800 000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2 800 000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8 200 000</w:t>
            </w:r>
          </w:p>
        </w:tc>
      </w:tr>
      <w:tr>
        <w:tblPrEx>
          <w:tblW w:w="5000" w:type="pct"/>
          <w:tblCellMar>
            <w:left w:w="108" w:type="dxa"/>
            <w:right w:w="108" w:type="dxa"/>
          </w:tblCellMar>
        </w:tblPrEx>
        <w:trPr>
          <w:trHeight w:val="196"/>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Zapewnienie odpowiednich warunków do życia dzieciom umieszczonym w rodzinnej pieczy zastępczej</w:t>
            </w:r>
          </w:p>
        </w:tc>
        <w:tc>
          <w:tcPr>
            <w:tcW w:w="786"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r>
      <w:tr>
        <w:tblPrEx>
          <w:tblW w:w="5000" w:type="pct"/>
          <w:tblCellMar>
            <w:left w:w="108" w:type="dxa"/>
            <w:right w:w="108" w:type="dxa"/>
          </w:tblCellMar>
        </w:tblPrEx>
        <w:trPr>
          <w:trHeight w:val="376"/>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1.3.1.3</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Pokrywanie kosztów utrzymania dzieci, będących mieszkańcami Bytomia, a umieszczonych w instytucjonalnej pieczy zastępczej na terenie innych powiatów na podstawie porozumień między powiatami</w:t>
            </w:r>
          </w:p>
        </w:tc>
        <w:tc>
          <w:tcPr>
            <w:tcW w:w="786"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Urząd Miejski w Bytomiu, Wydział Polityki Społecznej, Miejski Ośrodek Pomocy Rodzinie</w:t>
            </w:r>
          </w:p>
        </w:tc>
        <w:tc>
          <w:tcPr>
            <w:tcW w:w="222"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2012</w:t>
            </w:r>
          </w:p>
        </w:tc>
        <w:tc>
          <w:tcPr>
            <w:tcW w:w="228"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2028</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33 800 926</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2 800 000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3 000 000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3 100 000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8 900 000</w:t>
            </w:r>
          </w:p>
        </w:tc>
      </w:tr>
      <w:tr>
        <w:tblPrEx>
          <w:tblW w:w="5000" w:type="pct"/>
          <w:tblCellMar>
            <w:left w:w="108" w:type="dxa"/>
            <w:right w:w="108" w:type="dxa"/>
          </w:tblCellMar>
        </w:tblPrEx>
        <w:trPr>
          <w:trHeight w:val="190"/>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Zapewnienie odpowiednich warunków do życia dzieciom umieszczonym w instytucjonalnej pieczy zastępczej</w:t>
            </w:r>
          </w:p>
        </w:tc>
        <w:tc>
          <w:tcPr>
            <w:tcW w:w="786"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r>
      <w:tr>
        <w:tblPrEx>
          <w:tblW w:w="5000" w:type="pct"/>
          <w:tblCellMar>
            <w:left w:w="108" w:type="dxa"/>
            <w:right w:w="108" w:type="dxa"/>
          </w:tblCellMar>
        </w:tblPrEx>
        <w:trPr>
          <w:trHeight w:val="404"/>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1.3.1.4</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Pokrywanie kosztów utrzymania dzieci z terenu Bytomia 
w rodzinnych domach dziecka funkcjonujących na terenie powiatu oraz poza powiatem wynikające z umów oraz porozumień z innymi powiatami w sprawie wykonywania zadań rodzinnego domu dziecka</w:t>
            </w:r>
          </w:p>
        </w:tc>
        <w:tc>
          <w:tcPr>
            <w:tcW w:w="786"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Miejski Ośrodek Pomocy Rodzinie</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2012</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2029</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52 517 176</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5 800 000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5 800 000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5 800 000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5 800 000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9 450 000</w:t>
            </w:r>
          </w:p>
        </w:tc>
      </w:tr>
      <w:tr>
        <w:tblPrEx>
          <w:tblW w:w="5000" w:type="pct"/>
          <w:tblCellMar>
            <w:left w:w="108" w:type="dxa"/>
            <w:right w:w="108" w:type="dxa"/>
          </w:tblCellMar>
        </w:tblPrEx>
        <w:trPr>
          <w:trHeight w:val="186"/>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Zapewnienie odpowiednich warunków do życia dzieciom umieszczonym w rodzinnych domach dziecka</w:t>
            </w:r>
          </w:p>
        </w:tc>
        <w:tc>
          <w:tcPr>
            <w:tcW w:w="786"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386"/>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1.3.1.5</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Pokrywanie kosztów utrzymania dzieci z terenu Bytomia 
w zawodowych rodzinach zastępczych funkcjonujących na terenie powiatu wynikające z umów w sprawie wykonania zadań zawodowej rodziny zastępczej.</w:t>
            </w:r>
          </w:p>
        </w:tc>
        <w:tc>
          <w:tcPr>
            <w:tcW w:w="786"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Miejski Ośrodek Pomocy Rodzinie</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2012</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2029</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14 239 198</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2 000 000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2 000 000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2 000 000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2 000 000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3 840 000</w:t>
            </w:r>
          </w:p>
        </w:tc>
      </w:tr>
      <w:tr>
        <w:tblPrEx>
          <w:tblW w:w="5000" w:type="pct"/>
          <w:tblCellMar>
            <w:left w:w="108" w:type="dxa"/>
            <w:right w:w="108" w:type="dxa"/>
          </w:tblCellMar>
        </w:tblPrEx>
        <w:trPr>
          <w:trHeight w:val="186"/>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Zapewnienie odpowiednich warunków do życia dzieciom umieszczonym w zawodowych rodzinach zastępczych.</w:t>
            </w:r>
          </w:p>
        </w:tc>
        <w:tc>
          <w:tcPr>
            <w:tcW w:w="786"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218"/>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1.3.1.6</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Świadczenia dziennej opieki nad dziećmi z terenu miasta Bytomia w placówkach opiekuńczo-wychowawczych wsparcia dziennego</w:t>
            </w:r>
          </w:p>
        </w:tc>
        <w:tc>
          <w:tcPr>
            <w:tcW w:w="786"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Urząd Miejski w Bytomiu, Wydział Polityki Społecznej</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2012</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2028</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7 747 011</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680 000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740 000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780 000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2 160 481</w:t>
            </w:r>
          </w:p>
        </w:tc>
      </w:tr>
      <w:tr>
        <w:tblPrEx>
          <w:tblW w:w="5000" w:type="pct"/>
          <w:tblCellMar>
            <w:left w:w="108" w:type="dxa"/>
            <w:right w:w="108" w:type="dxa"/>
          </w:tblCellMar>
        </w:tblPrEx>
        <w:trPr>
          <w:trHeight w:val="186"/>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Zapewnienie dziennej opieki nad dziećmi z terenu miasta Bytomia w placówkach wsparcia dziennego</w:t>
            </w:r>
          </w:p>
        </w:tc>
        <w:tc>
          <w:tcPr>
            <w:tcW w:w="786"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92"/>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1.3.1.7</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Obsługa lodowiska plenerowego</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 xml:space="preserve">Ośrodek Sportu 
i Rekreacji </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2020</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2030</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1 320 000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120 000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120 000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120 000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120 000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120 000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0</w:t>
            </w:r>
          </w:p>
        </w:tc>
      </w:tr>
      <w:tr>
        <w:tblPrEx>
          <w:tblW w:w="5000" w:type="pct"/>
          <w:tblCellMar>
            <w:left w:w="108" w:type="dxa"/>
            <w:right w:w="108" w:type="dxa"/>
          </w:tblCellMar>
        </w:tblPrEx>
        <w:trPr>
          <w:trHeight w:val="92"/>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Poprawa infrastruktury sportowej w mieście</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312"/>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1.3.1.8</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Pokrywanie kosztów wyżywienia i zakwaterowania dzieci
z pieczy zastępczej, będących mieszkańcami Bytomia, 
a umieszczonych przez sąd w zakładach opiekuńczo-leczniczych</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 xml:space="preserve">Urząd Miejski w Bytomiu, Wydział Polityki Społecznej, Miejski Ośrodek Pomocy Rodzinie </w:t>
            </w:r>
          </w:p>
        </w:tc>
        <w:tc>
          <w:tcPr>
            <w:tcW w:w="222"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2018</w:t>
            </w:r>
          </w:p>
        </w:tc>
        <w:tc>
          <w:tcPr>
            <w:tcW w:w="228"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2028</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6 896 000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800 000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840 000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880 000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2 520 000</w:t>
            </w:r>
          </w:p>
        </w:tc>
      </w:tr>
      <w:tr>
        <w:tblPrEx>
          <w:tblW w:w="5000" w:type="pct"/>
          <w:tblCellMar>
            <w:left w:w="108" w:type="dxa"/>
            <w:right w:w="108" w:type="dxa"/>
          </w:tblCellMar>
        </w:tblPrEx>
        <w:trPr>
          <w:trHeight w:val="210"/>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Zapewnienie odpowiednich warunków do życia dzieciom umieszczonym przez sąd w zakładach opiekuńczo-leczniczych</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r>
      <w:tr>
        <w:tblPrEx>
          <w:tblW w:w="5000" w:type="pct"/>
          <w:tblCellMar>
            <w:left w:w="108" w:type="dxa"/>
            <w:right w:w="108" w:type="dxa"/>
          </w:tblCellMar>
        </w:tblPrEx>
        <w:trPr>
          <w:trHeight w:val="186"/>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1.3.1.9</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Współpraca z Krajowym Rejestrem Długów Biurem Informacji Gospodarczej S.A.</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Urząd Miejski w Bytomiu,Wydział Finansowy, Wydział Poboru i Windykacji Dochodów</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2019</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2027</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29 262</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3 800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0</w:t>
            </w:r>
          </w:p>
        </w:tc>
      </w:tr>
      <w:tr>
        <w:tblPrEx>
          <w:tblW w:w="5000" w:type="pct"/>
          <w:tblCellMar>
            <w:left w:w="108" w:type="dxa"/>
            <w:right w:w="108" w:type="dxa"/>
          </w:tblCellMar>
        </w:tblPrEx>
        <w:trPr>
          <w:trHeight w:val="278"/>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Wsparcie windykacji niepodatkowych dochodów budżetowych</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278"/>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1.3.1.10</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Letnie i zimowe utrzymanie czystości oraz konserwacja zieleni na terenie Bytomia wraz z innymi zadaniami powierzonymi BZUK Sp. z o.o.</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 xml:space="preserve">Miejski Zarząd Dróg i Mostów </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2020</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2036</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303 016 005</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21 004 700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21 004 700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21 004 700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21 004 700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21 004 700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21 004 700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21 004 700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21 004 700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21 004 700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21 004 700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3 500 800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193 130 357</w:t>
            </w:r>
          </w:p>
        </w:tc>
      </w:tr>
      <w:tr>
        <w:tblPrEx>
          <w:tblW w:w="5000" w:type="pct"/>
          <w:tblCellMar>
            <w:left w:w="108" w:type="dxa"/>
            <w:right w:w="108" w:type="dxa"/>
          </w:tblCellMar>
        </w:tblPrEx>
        <w:trPr>
          <w:trHeight w:val="274"/>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Zapewnienie ładu, czystości, porządku oraz konserwacja zieleni w pasie dróg publicznych oraz na innych terenach będących w utrzymaniu jednostki</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CE" w:eastAsia="Arial CE" w:hAnsi="Arial CE" w:cs="Arial CE"/>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278"/>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1.3.1.11</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Wyposażenie Strefy Płatnego Parkowania w urządzenia
i oprogramowanie niezbędne do poboru opłat za postój
w Strefie Płatnego Parkowania</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 xml:space="preserve">Miejski Zarząd Dróg i Mostów </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2021</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2027</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4 734 336</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958 000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303 000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428 313</w:t>
            </w:r>
          </w:p>
        </w:tc>
      </w:tr>
      <w:tr>
        <w:tblPrEx>
          <w:tblW w:w="5000" w:type="pct"/>
          <w:tblCellMar>
            <w:left w:w="108" w:type="dxa"/>
            <w:right w:w="108" w:type="dxa"/>
          </w:tblCellMar>
        </w:tblPrEx>
        <w:trPr>
          <w:trHeight w:val="186"/>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Utrzymanie nowoczesnej i funkcjonalnej Strefy Płatnego Parkowania</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CE" w:eastAsia="Arial CE" w:hAnsi="Arial CE" w:cs="Arial CE"/>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r>
      <w:tr>
        <w:tblPrEx>
          <w:tblW w:w="5000" w:type="pct"/>
          <w:tblCellMar>
            <w:left w:w="108" w:type="dxa"/>
            <w:right w:w="108" w:type="dxa"/>
          </w:tblCellMar>
        </w:tblPrEx>
        <w:trPr>
          <w:trHeight w:val="196"/>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1.3.1.12</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Kontrola wnoszenia opłat w Strefie Płatnego Parkowania
w Bytomiu wraz z utrzymaniem i obsługą biura SPP</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 xml:space="preserve">Miejski Zarząd Dróg i Mostów </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2021</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2027</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3 782 862</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881 500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251 500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0</w:t>
            </w:r>
          </w:p>
        </w:tc>
      </w:tr>
      <w:tr>
        <w:tblPrEx>
          <w:tblW w:w="5000" w:type="pct"/>
          <w:tblCellMar>
            <w:left w:w="108" w:type="dxa"/>
            <w:right w:w="108" w:type="dxa"/>
          </w:tblCellMar>
        </w:tblPrEx>
        <w:trPr>
          <w:trHeight w:val="186"/>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 xml:space="preserve">Utrzymanie nowoczesnej i funkcjonalnej Strefy Płatnego Parkowania </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CE" w:eastAsia="Arial CE" w:hAnsi="Arial CE" w:cs="Arial CE"/>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r>
      <w:tr>
        <w:tblPrEx>
          <w:tblW w:w="5000" w:type="pct"/>
          <w:tblCellMar>
            <w:left w:w="108" w:type="dxa"/>
            <w:right w:w="108" w:type="dxa"/>
          </w:tblCellMar>
        </w:tblPrEx>
        <w:trPr>
          <w:trHeight w:val="186"/>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1.3.1.13</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Świadczenie usług oświetleniowych w zakresie rozszerzonym – o podwyższonym standardzie</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 xml:space="preserve">Miejski Zarząd Dróg i Mostów </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2021</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2030</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29 948 359</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3 703 543</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3 795 760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3 891 837</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3 992 416</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668 218</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749 780</w:t>
            </w:r>
          </w:p>
        </w:tc>
      </w:tr>
      <w:tr>
        <w:tblPrEx>
          <w:tblW w:w="5000" w:type="pct"/>
          <w:tblCellMar>
            <w:left w:w="108" w:type="dxa"/>
            <w:right w:w="108" w:type="dxa"/>
          </w:tblCellMar>
        </w:tblPrEx>
        <w:trPr>
          <w:trHeight w:val="186"/>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Utrzymanie energooszczędnego i funkcjonalnego oświetlenia drogowego</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CE" w:eastAsia="Arial CE" w:hAnsi="Arial CE" w:cs="Arial CE"/>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372"/>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1.3.1.14</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Prowadzenie postępowania sądowego w przedmiocie dochodzenia odszkodowania od podmiotów górniczych za szkody wyrządzone na nieruchomości gminnej położonej w Bytomiu przy ul. Dzierżonia 21</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Urząd Miejski w Bytomiu, Wydział Obrotu Nieruchomościami, Wydział Nadzoru Właścicielskiego</w:t>
            </w:r>
          </w:p>
        </w:tc>
        <w:tc>
          <w:tcPr>
            <w:tcW w:w="222"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2020</w:t>
            </w:r>
          </w:p>
        </w:tc>
        <w:tc>
          <w:tcPr>
            <w:tcW w:w="228"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2027</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143 500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130 000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130 000</w:t>
            </w:r>
          </w:p>
        </w:tc>
      </w:tr>
      <w:tr>
        <w:tblPrEx>
          <w:tblW w:w="5000" w:type="pct"/>
          <w:tblCellMar>
            <w:left w:w="108" w:type="dxa"/>
            <w:right w:w="108" w:type="dxa"/>
          </w:tblCellMar>
        </w:tblPrEx>
        <w:trPr>
          <w:trHeight w:val="176"/>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Uzyskanie odszkodowania</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186"/>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1.3.1.15</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Zabezpieczenie prawidłowej realizacji projektów wspierających aktywne formy przeciwdziałania bezrobociu</w:t>
            </w:r>
          </w:p>
        </w:tc>
        <w:tc>
          <w:tcPr>
            <w:tcW w:w="786"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 xml:space="preserve">Urząd Miejski w Bytomiu, Wydział Polityki Społecznej, Powiatowy Urząd Pracy </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2019</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2027</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11 462 600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50 000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50 000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100 000</w:t>
            </w:r>
          </w:p>
        </w:tc>
      </w:tr>
      <w:tr>
        <w:tblPrEx>
          <w:tblW w:w="5000" w:type="pct"/>
          <w:tblCellMar>
            <w:left w:w="108" w:type="dxa"/>
            <w:right w:w="108" w:type="dxa"/>
          </w:tblCellMar>
        </w:tblPrEx>
        <w:trPr>
          <w:trHeight w:val="590"/>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Zabezpieczenie terminowego zwrotu środków wskazanych przez Instytucję Zarządzającą jako niekwalifikowalne w projektach wdrażanych przez Powiatowy Urząd Pracy w Bytomiu, promujących aktywne formy przeciwdziałania bezrobociu oraz wzrost aktywności zawodowej i zwiększających poprawę zdolności do zatrudnienia mieszkańców Bytomia</w:t>
            </w:r>
          </w:p>
        </w:tc>
        <w:tc>
          <w:tcPr>
            <w:tcW w:w="786"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r>
      <w:tr>
        <w:tblPrEx>
          <w:tblW w:w="5000" w:type="pct"/>
          <w:tblCellMar>
            <w:left w:w="108" w:type="dxa"/>
            <w:right w:w="108" w:type="dxa"/>
          </w:tblCellMar>
        </w:tblPrEx>
        <w:trPr>
          <w:trHeight w:val="92"/>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1.3.1.16</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Bankowa obsługa budżetu gminy Bytom</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Urząd Miejski w Bytomiu, Wydział Analiz, Operacji Finansowych i Rozliczeń Podatku VAT</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2022</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2027</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810 750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170 760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12 300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0</w:t>
            </w:r>
          </w:p>
        </w:tc>
      </w:tr>
      <w:tr>
        <w:tblPrEx>
          <w:tblW w:w="5000" w:type="pct"/>
          <w:tblCellMar>
            <w:left w:w="108" w:type="dxa"/>
            <w:right w:w="108" w:type="dxa"/>
          </w:tblCellMar>
        </w:tblPrEx>
        <w:trPr>
          <w:trHeight w:val="394"/>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Prowadzenie rachunków bankowych Urzędu Miejskiego
i miejskich jednostek budżetowych oraz zapewnienie kompleksowej obsługi bankowej budżetu gminy</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92"/>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1.3.1.17</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Program wsparcia rodzin "Za Życiem"</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Poradnia Psychologiczno-Pedagogiczna</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2022</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2026</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1 486 947</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315 700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315 700</w:t>
            </w:r>
          </w:p>
        </w:tc>
      </w:tr>
      <w:tr>
        <w:tblPrEx>
          <w:tblW w:w="5000" w:type="pct"/>
          <w:tblCellMar>
            <w:left w:w="108" w:type="dxa"/>
            <w:right w:w="108" w:type="dxa"/>
          </w:tblCellMar>
        </w:tblPrEx>
        <w:trPr>
          <w:trHeight w:val="182"/>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 xml:space="preserve">Realizacja zadań wiodącego ośrodka koordynacyjno - rehabilitacyjno - opiekuńczego </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CE" w:eastAsia="Arial CE" w:hAnsi="Arial CE" w:cs="Arial CE"/>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r>
      <w:tr>
        <w:tblPrEx>
          <w:tblW w:w="5000" w:type="pct"/>
          <w:tblCellMar>
            <w:left w:w="108" w:type="dxa"/>
            <w:right w:w="108" w:type="dxa"/>
          </w:tblCellMar>
        </w:tblPrEx>
        <w:trPr>
          <w:trHeight w:val="98"/>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1.3.1.18</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Usuwanie pojazdów z dróg</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Urząd Miejski w Bytomiu, Wydział Transportu</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2024</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2026</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159 000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79 500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0</w:t>
            </w:r>
          </w:p>
        </w:tc>
      </w:tr>
      <w:tr>
        <w:tblPrEx>
          <w:tblW w:w="5000" w:type="pct"/>
          <w:tblCellMar>
            <w:left w:w="108" w:type="dxa"/>
            <w:right w:w="108" w:type="dxa"/>
          </w:tblCellMar>
        </w:tblPrEx>
        <w:trPr>
          <w:trHeight w:val="200"/>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Usuwanie pojazdów z dróg w latach 2023-2024 na podstawie art..50a oraz 130a ustawy Prawo o ruchu drogowym</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186"/>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1.3.1.19</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Kompleksowa obsługa telekomunikacyjna jednostki wraz z dzierżawą wirtualnej centrali telefonicznej</w:t>
            </w:r>
          </w:p>
        </w:tc>
        <w:tc>
          <w:tcPr>
            <w:tcW w:w="786"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 xml:space="preserve">Miejski Zarząd Dróg i Mostów </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2022</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2029</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394 820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70 120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72 320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72 320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12 060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221 842</w:t>
            </w:r>
          </w:p>
        </w:tc>
      </w:tr>
      <w:tr>
        <w:tblPrEx>
          <w:tblW w:w="5000" w:type="pct"/>
          <w:tblCellMar>
            <w:left w:w="108" w:type="dxa"/>
            <w:right w:w="108" w:type="dxa"/>
          </w:tblCellMar>
        </w:tblPrEx>
        <w:trPr>
          <w:trHeight w:val="278"/>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Utrzymanie funkcjonalnej centrali telefoniczno-informatycznej, w tym łącza internetowego, transmisji danych między lokalizacjami oraz telefonii stacjonarnej</w:t>
            </w:r>
          </w:p>
        </w:tc>
        <w:tc>
          <w:tcPr>
            <w:tcW w:w="786"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292"/>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1.3.1.20</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Zbiórka surowców wtórnych tj.: makulatura, plastikowe butelki PET oraz baterie w ramach akcji "Bytom jest EKO" organizowanej dla bytomskich placówek oświatowych</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Urząd Miejski w Bytomiu, Wydział Inżynierii Środowiska, Wydział Gospodarowania Odpadami Komunalnymi</w:t>
            </w:r>
          </w:p>
        </w:tc>
        <w:tc>
          <w:tcPr>
            <w:tcW w:w="222"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2023</w:t>
            </w:r>
          </w:p>
        </w:tc>
        <w:tc>
          <w:tcPr>
            <w:tcW w:w="228"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2026</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22 535</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13 000</w:t>
            </w:r>
          </w:p>
        </w:tc>
      </w:tr>
      <w:tr>
        <w:tblPrEx>
          <w:tblW w:w="5000" w:type="pct"/>
          <w:tblCellMar>
            <w:left w:w="108" w:type="dxa"/>
            <w:right w:w="108" w:type="dxa"/>
          </w:tblCellMar>
        </w:tblPrEx>
        <w:trPr>
          <w:trHeight w:val="548"/>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 xml:space="preserve">Wzmocnienie pozytywnych zachowań podopiecznych przedszkoli oraz szkół w zakresie ekologii, edukacji związanej z gospodarką odpadami, a co z tym związane 
z selektywną zbiórką surowców wtórnych tj. makulatury, butelek PET oraz baterii. Do powyższej akcji przystąpić może każda bytomska placówka oświatowa. </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278"/>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1.3.1.21</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Kompleksowa usługa ochrony zwierząt wraz z prowadzeniem schroniska dla bezdomnych zwierząt oraz grzebowiska w Bytomiu przy ul. Łaszczyka18</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Urząd Miejski w Bytomiu, Wydział Inżynierii Środowiska</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2023</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2026</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5 688 000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2 088 000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2 088 000</w:t>
            </w:r>
          </w:p>
        </w:tc>
      </w:tr>
      <w:tr>
        <w:tblPrEx>
          <w:tblW w:w="5000" w:type="pct"/>
          <w:tblCellMar>
            <w:left w:w="108" w:type="dxa"/>
            <w:right w:w="108" w:type="dxa"/>
          </w:tblCellMar>
        </w:tblPrEx>
        <w:trPr>
          <w:trHeight w:val="288"/>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Prowadzenie działalności w zakresie ochrony przed bezdomnymi zwierzętami, prowadzenia schroniska dla bezdomnych zwierząt oraz grzebowiska zwłok zwierzęcych</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278"/>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1.3.1.22</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Miejski Program Zapobiegania Przestępczości oraz Ochrony Bezpieczeństwa Obywateli i Porządku Publicznego na lata 2024-2026</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Urząd Miejski w Bytomiu, Wydział Zarządzania Kryzysowego</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2024</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2026</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270 000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90 000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90 000</w:t>
            </w:r>
          </w:p>
        </w:tc>
      </w:tr>
      <w:tr>
        <w:tblPrEx>
          <w:tblW w:w="5000" w:type="pct"/>
          <w:tblCellMar>
            <w:left w:w="108" w:type="dxa"/>
            <w:right w:w="108" w:type="dxa"/>
          </w:tblCellMar>
        </w:tblPrEx>
        <w:trPr>
          <w:trHeight w:val="278"/>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Zapobieganie przestępczości oraz ochrona bezpieczeństwa obywateli i porządku publicznego - podniesienie poziomu bezpieczeństwa w mieście</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186"/>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1.3.1.23</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Zarządzanie nieruchomościami będącymi w posiadaniu gminy - umowy wieloletnie</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Bytomskie Mieszkania</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2024</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2026</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2 644 108</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918 160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368 520</w:t>
            </w:r>
          </w:p>
        </w:tc>
      </w:tr>
      <w:tr>
        <w:tblPrEx>
          <w:tblW w:w="5000" w:type="pct"/>
          <w:tblCellMar>
            <w:left w:w="108" w:type="dxa"/>
            <w:right w:w="108" w:type="dxa"/>
          </w:tblCellMar>
        </w:tblPrEx>
        <w:trPr>
          <w:trHeight w:val="524"/>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Realizacja czynności i zadań prowadzonych w nieruchomościach zarządzanych przez Bytomskie Mieszkania. Usługi związane z obsługą eksploatacyjną nieruchomości, w tym m.in. utrzymanie porządku i czystości, całodobowa obsługa eksploatacyjna kotłowni oraz inne zadania, których realizacja wykracza poza rok budżetowy</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366"/>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1.3.1.24</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Prowadzenia postępowania sądowego w przedmiocie dochodzenia odszkodowania od podmiotów górniczych za szkody wyrządzone na budynku gminnym położonym w Bytomiu przy ul. Dzierżonia 21
</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Urząd Miejski w Bytomiu, Wydział Nadzoru Właścicielskiego</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2024</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2028</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110 700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86 100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86 100</w:t>
            </w:r>
          </w:p>
        </w:tc>
      </w:tr>
      <w:tr>
        <w:tblPrEx>
          <w:tblW w:w="5000" w:type="pct"/>
          <w:tblCellMar>
            <w:left w:w="108" w:type="dxa"/>
            <w:right w:w="108" w:type="dxa"/>
          </w:tblCellMar>
        </w:tblPrEx>
        <w:trPr>
          <w:trHeight w:val="92"/>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Uzyskanie odszkodowania</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102"/>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1.3.1.25</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Prowadzenie parkingu miejskiego dla pojazdów usuniętych z drogi</w:t>
            </w:r>
          </w:p>
        </w:tc>
        <w:tc>
          <w:tcPr>
            <w:tcW w:w="786"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Urząd Miejski w Bytomiu, Wydział Transportu</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2024</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2027</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400 000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140 000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140 000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9 730</w:t>
            </w:r>
          </w:p>
        </w:tc>
      </w:tr>
      <w:tr>
        <w:tblPrEx>
          <w:tblW w:w="5000" w:type="pct"/>
          <w:tblCellMar>
            <w:left w:w="108" w:type="dxa"/>
            <w:right w:w="108" w:type="dxa"/>
          </w:tblCellMar>
        </w:tblPrEx>
        <w:trPr>
          <w:trHeight w:val="204"/>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Dzierżawa terenu pod parking miejski  dla pojazdów usuniętych z drogi od spółki Tramwaje Śląskie S.A.</w:t>
            </w:r>
          </w:p>
        </w:tc>
        <w:tc>
          <w:tcPr>
            <w:tcW w:w="786"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r>
      <w:tr>
        <w:tblPrEx>
          <w:tblW w:w="5000" w:type="pct"/>
          <w:tblCellMar>
            <w:left w:w="108" w:type="dxa"/>
            <w:right w:w="108" w:type="dxa"/>
          </w:tblCellMar>
        </w:tblPrEx>
        <w:trPr>
          <w:trHeight w:val="182"/>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1.3.1.26</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Roszczenia odszkodowawcze z tytułu niedostarczenia ofert zawarcia umowy najmu socjalnego lokalu</w:t>
            </w:r>
          </w:p>
        </w:tc>
        <w:tc>
          <w:tcPr>
            <w:tcW w:w="786"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Bytomskie Mieszkania</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2024</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2027</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13 449 353</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2 000 000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9 449 353</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225 691</w:t>
            </w:r>
          </w:p>
        </w:tc>
      </w:tr>
      <w:tr>
        <w:tblPrEx>
          <w:tblW w:w="5000" w:type="pct"/>
          <w:tblCellMar>
            <w:left w:w="108" w:type="dxa"/>
            <w:right w:w="108" w:type="dxa"/>
          </w:tblCellMar>
        </w:tblPrEx>
        <w:trPr>
          <w:trHeight w:val="888"/>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Spłata odszkodowań z tytułu niedostarczenia ofert zawarcia umowy najmu socjalnego lokalu na rzecz osób wobec których prawomocnym wyrokiem sądowym orzeczona została eksmisja z przyznanym uprawnieniem do zawarcia umowy najmu socjalnego lokalu oraz w związku z niewskazaniem pomieszczeń tymczasowych na rzecz osób wobec których prawomocnym wyrokiem sądowym orzeczona została eksmisja bez przyznanego uprawnienia do zawarcia umowy najmu socjalnego lokalu - dotyczy spraw sądowych oraz pozasądowych (porozumienia oraz ugody w tym mediacje)</w:t>
            </w:r>
          </w:p>
        </w:tc>
        <w:tc>
          <w:tcPr>
            <w:tcW w:w="786"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CE" w:eastAsia="Arial CE" w:hAnsi="Arial CE" w:cs="Arial CE"/>
                <w:b w:val="0"/>
                <w:i w:val="0"/>
                <w:strike w:val="0"/>
                <w:color w:val="000000"/>
                <w:sz w:val="14"/>
                <w:u w:val="none"/>
                <w:vertAlign w:val="baseline"/>
              </w:rPr>
            </w:pPr>
          </w:p>
        </w:tc>
      </w:tr>
      <w:tr>
        <w:tblPrEx>
          <w:tblW w:w="5000" w:type="pct"/>
          <w:tblCellMar>
            <w:left w:w="108" w:type="dxa"/>
            <w:right w:w="108" w:type="dxa"/>
          </w:tblCellMar>
        </w:tblPrEx>
        <w:trPr>
          <w:trHeight w:val="288"/>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1.3.1.27</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Wprowadzenie i utrzymanie oznakowania tymczasowego na wiadukcie w ciągu al. Jana Pawła II (DW-911) nad ulicą Siemianowicką w Bytomiu</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 xml:space="preserve">Miejski Zarząd Dróg i Mostów </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2025</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2026</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216 480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95 940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0</w:t>
            </w:r>
          </w:p>
        </w:tc>
      </w:tr>
      <w:tr>
        <w:tblPrEx>
          <w:tblW w:w="5000" w:type="pct"/>
          <w:tblCellMar>
            <w:left w:w="108" w:type="dxa"/>
            <w:right w:w="108" w:type="dxa"/>
          </w:tblCellMar>
        </w:tblPrEx>
        <w:trPr>
          <w:trHeight w:val="186"/>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Utrzymanie elementów wprowadzonej zmiany organizacji ruchu wraz z montażem i demontażem</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CE" w:eastAsia="Arial CE" w:hAnsi="Arial CE" w:cs="Arial CE"/>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CE" w:eastAsia="Arial CE" w:hAnsi="Arial CE" w:cs="Arial CE"/>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92"/>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1.3.1.28</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Koncepcja przebudowy Rynku</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Urząd Miejski w Bytomiu, Wydział Strategii, Funduszy Europejskich i Obsługi Inwestora</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2025</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2026</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100 000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CE" w:eastAsia="Arial CE" w:hAnsi="Arial CE" w:cs="Arial CE"/>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1 000</w:t>
            </w:r>
          </w:p>
        </w:tc>
      </w:tr>
      <w:tr>
        <w:tblPrEx>
          <w:tblW w:w="5000" w:type="pct"/>
          <w:tblCellMar>
            <w:left w:w="108" w:type="dxa"/>
            <w:right w:w="108" w:type="dxa"/>
          </w:tblCellMar>
        </w:tblPrEx>
        <w:trPr>
          <w:trHeight w:val="366"/>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Przygotowanie dokumentacji koncepcyjnej przebudowy nowej płyty Rynku</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CE" w:eastAsia="Arial CE" w:hAnsi="Arial CE" w:cs="Arial CE"/>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284"/>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1.3.1.29</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Remont drogi krajowej w miejscowości Bytom - ul. Strzelców Bytomskich na odcinku od skrzyżowania z ul. Cegielnianą do skrzyżowania z ul. Chrzanowskiego</w:t>
            </w:r>
          </w:p>
        </w:tc>
        <w:tc>
          <w:tcPr>
            <w:tcW w:w="786"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 xml:space="preserve">Miejski Zarząd Dróg i Mostów </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2025</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2026</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2 385 952</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1 126 478</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CE" w:eastAsia="Arial CE" w:hAnsi="Arial CE" w:cs="Arial CE"/>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1 126 478</w:t>
            </w:r>
          </w:p>
        </w:tc>
      </w:tr>
      <w:tr>
        <w:tblPrEx>
          <w:tblW w:w="5000" w:type="pct"/>
          <w:tblCellMar>
            <w:left w:w="108" w:type="dxa"/>
            <w:right w:w="108" w:type="dxa"/>
          </w:tblCellMar>
        </w:tblPrEx>
        <w:trPr>
          <w:trHeight w:val="182"/>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Poprawa warunków komunikacyjnych i bezpieczeństwa
mieszkańców</w:t>
            </w:r>
          </w:p>
        </w:tc>
        <w:tc>
          <w:tcPr>
            <w:tcW w:w="786"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182"/>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1.3.1.30</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Dowożenie uczniów niepełnosprawnych do szkół i placówek oświatowych</w:t>
            </w:r>
          </w:p>
        </w:tc>
        <w:tc>
          <w:tcPr>
            <w:tcW w:w="786"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Urząd Miejski w Bytomiu, Wydział Edukacji</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2025</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2026</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1 081 000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470 000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CE" w:eastAsia="Arial CE" w:hAnsi="Arial CE" w:cs="Arial CE"/>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0</w:t>
            </w:r>
          </w:p>
        </w:tc>
      </w:tr>
      <w:tr>
        <w:tblPrEx>
          <w:tblW w:w="5000" w:type="pct"/>
          <w:tblCellMar>
            <w:left w:w="108" w:type="dxa"/>
            <w:right w:w="108" w:type="dxa"/>
          </w:tblCellMar>
        </w:tblPrEx>
        <w:trPr>
          <w:trHeight w:val="204"/>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Zorganizowanie i zapewnienie uczniom dowozu na zajęcia, zgodnie z zapisami ustawowymi i na podstawie zawartych umów</w:t>
            </w:r>
          </w:p>
        </w:tc>
        <w:tc>
          <w:tcPr>
            <w:tcW w:w="786"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428"/>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1.3.1.31</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 xml:space="preserve">Świadczenie usług polegających na stwierdzeniu zgonu, ustaleniu jego przyczyny oraz wystawieniu karty zgonu osobom zmarłym w granicach administracyjnych miasta Bytomia - zgodnie z art.11 ust. 2 ustawy z dnia 31 stycznia 1959 r. o cmentarzach i chowaniu zmarłych  </w:t>
            </w:r>
          </w:p>
        </w:tc>
        <w:tc>
          <w:tcPr>
            <w:tcW w:w="786"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 xml:space="preserve">Urząd Miejski w Bytomiu, Wydział Polityki Społecznej </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2025</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2026</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126 000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108 000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CE" w:eastAsia="Arial CE" w:hAnsi="Arial CE" w:cs="Arial CE"/>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108 000</w:t>
            </w:r>
          </w:p>
        </w:tc>
      </w:tr>
      <w:tr>
        <w:tblPrEx>
          <w:tblW w:w="5000" w:type="pct"/>
          <w:tblCellMar>
            <w:left w:w="108" w:type="dxa"/>
            <w:right w:w="108" w:type="dxa"/>
          </w:tblCellMar>
        </w:tblPrEx>
        <w:trPr>
          <w:trHeight w:val="284"/>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Zapewnienie usług lekarskich w zakresie stwierdzenia zgonu, jego przyczyny i wystawienia karty zgonu zgodnie
z przepisami ustawy o cmentarzach i chowaniu zmarłych</w:t>
            </w:r>
          </w:p>
        </w:tc>
        <w:tc>
          <w:tcPr>
            <w:tcW w:w="786"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182"/>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1.3.1.32</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Opracowanie prognozy oddziaływania na środowisko na potrzeby Planu Ogólnego Gminy Bytom</w:t>
            </w:r>
          </w:p>
        </w:tc>
        <w:tc>
          <w:tcPr>
            <w:tcW w:w="786"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Urząd Miejski  w Bytomiu, Wydział Architektury</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2025</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2026</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50 000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50 000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CE" w:eastAsia="Arial CE" w:hAnsi="Arial CE" w:cs="Arial CE"/>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50 000</w:t>
            </w:r>
          </w:p>
        </w:tc>
      </w:tr>
      <w:tr>
        <w:tblPrEx>
          <w:tblW w:w="5000" w:type="pct"/>
          <w:tblCellMar>
            <w:left w:w="108" w:type="dxa"/>
            <w:right w:w="108" w:type="dxa"/>
          </w:tblCellMar>
        </w:tblPrEx>
        <w:trPr>
          <w:trHeight w:val="372"/>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Opracowanie prognozy oddziaływania na środowisko jest niezbędne do uchwalenia Planu Ogólnego Gminy Bytom. Obowiązek uchwalenia Planu do dnia 30.06.2026 r. wynika
z ustawy o planowaniu i zagospodarowaniu przestrzennym</w:t>
            </w:r>
          </w:p>
        </w:tc>
        <w:tc>
          <w:tcPr>
            <w:tcW w:w="786"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120"/>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1.3.1.33</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Usługa świadczenia dostępu do systemu informacji prawnej</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 xml:space="preserve">Miejski Zarząd Dróg i Mostów </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2025</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2028</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24 354</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8 118</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8118</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8 118</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24 354</w:t>
            </w:r>
          </w:p>
        </w:tc>
      </w:tr>
      <w:tr>
        <w:tblPrEx>
          <w:tblW w:w="5000" w:type="pct"/>
          <w:tblCellMar>
            <w:left w:w="108" w:type="dxa"/>
            <w:right w:w="108" w:type="dxa"/>
          </w:tblCellMar>
        </w:tblPrEx>
        <w:trPr>
          <w:trHeight w:val="120"/>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Racjonalizowanie kosztów realizacji zadań jednostki</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CE" w:eastAsia="Arial CE" w:hAnsi="Arial CE" w:cs="Arial CE"/>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190"/>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1.3.1.34</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Świadczenie usług w zakresie zapewnienia bezpieczeństwa informacji i ochrony danych osobowych</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 xml:space="preserve">Miejski Zarząd Dróg i Mostów </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2025</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2029</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116 780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36 860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36 860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36 860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6 200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116 780</w:t>
            </w:r>
          </w:p>
        </w:tc>
      </w:tr>
      <w:tr>
        <w:tblPrEx>
          <w:tblW w:w="5000" w:type="pct"/>
          <w:tblCellMar>
            <w:left w:w="108" w:type="dxa"/>
            <w:right w:w="108" w:type="dxa"/>
          </w:tblCellMar>
        </w:tblPrEx>
        <w:trPr>
          <w:trHeight w:val="214"/>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Racjonalizowanie kosztów i zapewnienie ciągłości realizacji ustawowego obowiązku RODO</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CE" w:eastAsia="Arial CE" w:hAnsi="Arial CE" w:cs="Arial CE"/>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134"/>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1.3.1.35</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Park świateł wraz z oświetleniem świątecznym ulic w dzielnicach</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 xml:space="preserve">Miejski Zarząd Dróg i Mostów </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2025</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2026</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1 040 000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1 020 000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10 639</w:t>
            </w:r>
          </w:p>
        </w:tc>
      </w:tr>
      <w:tr>
        <w:tblPrEx>
          <w:tblW w:w="5000" w:type="pct"/>
          <w:tblCellMar>
            <w:left w:w="108" w:type="dxa"/>
            <w:right w:w="108" w:type="dxa"/>
          </w:tblCellMar>
        </w:tblPrEx>
        <w:trPr>
          <w:trHeight w:val="92"/>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Iluminacja okolicznościowa miasta (usługa kompleksowa)</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CE" w:eastAsia="Arial CE" w:hAnsi="Arial CE" w:cs="Arial CE"/>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278"/>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1.3.1.36</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Wykonanie usługi polegającej na przygotowaniu i przeprowadzeniu postępowania o udzielenie zamówienia publicznego na zakup energii elektrycznej i gazu w Gminie Bytom</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Urząd Miejski w Bytomiu, Wydział Inżynierii Środowiska</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2025</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2027</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49 200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1 230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1 230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2 460</w:t>
            </w:r>
          </w:p>
        </w:tc>
      </w:tr>
      <w:tr>
        <w:tblPrEx>
          <w:tblW w:w="5000" w:type="pct"/>
          <w:tblCellMar>
            <w:left w:w="108" w:type="dxa"/>
            <w:right w:w="108" w:type="dxa"/>
          </w:tblCellMar>
        </w:tblPrEx>
        <w:trPr>
          <w:trHeight w:val="854"/>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Zapewnienie optymalnego ekonomicznie postępowania przetargowego na dostawę mediów dla jednostek organizacyjnych Gminy Bytom, w związku z planowanym wyjściem z grupy zakupowej energii elektrycznej i gazu organizowanej przez Górnośląsko-Zagłębiowską Metropolię, polegającego min. na przygotowaniu dokumentacji przetargowej, określeniu parametrów zamówienia, koordynację podpisywania umów oraz sporządzanie niezbędnych analiz umożliwiających uzyskanie najkorzystniejszych warunków zakupu</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182"/>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1.3.1.37</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Ekopracownia pod chmurką w Szkole Podstawowa nr 3
im. W. Broniewskiego - Jerzykowy azyl</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Szkoła Podstawowa nr 3</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2025</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2026</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87 500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87 500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CE" w:eastAsia="Arial CE" w:hAnsi="Arial CE" w:cs="Arial CE"/>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87 500</w:t>
            </w:r>
          </w:p>
        </w:tc>
      </w:tr>
      <w:tr>
        <w:tblPrEx>
          <w:tblW w:w="5000" w:type="pct"/>
          <w:tblCellMar>
            <w:left w:w="108" w:type="dxa"/>
            <w:right w:w="108" w:type="dxa"/>
          </w:tblCellMar>
        </w:tblPrEx>
        <w:trPr>
          <w:trHeight w:val="190"/>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Utworzenie na terenie placówki pracowni do prowadzenia zajęć za świeżym powietrzu z zakresu nauk przyrodniczych</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CE" w:eastAsia="Arial CE" w:hAnsi="Arial CE" w:cs="Arial CE"/>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190"/>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1.3.1.38</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Ekopracownia pod chmurką w Szkole Podstawowej nr 16 im. M.Konopnickiej - Szkolna ławka wśród kwiatów</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Szkoła Podstawowa nr 16</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2025</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2026</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87 500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87 500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CE" w:eastAsia="Arial CE" w:hAnsi="Arial CE" w:cs="Arial CE"/>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87 500</w:t>
            </w:r>
          </w:p>
        </w:tc>
      </w:tr>
      <w:tr>
        <w:tblPrEx>
          <w:tblW w:w="5000" w:type="pct"/>
          <w:tblCellMar>
            <w:left w:w="108" w:type="dxa"/>
            <w:right w:w="108" w:type="dxa"/>
          </w:tblCellMar>
        </w:tblPrEx>
        <w:trPr>
          <w:trHeight w:val="200"/>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Utworzenie na terenie placówki pracowni do prowadzenia zajęć za świeżym powietrzu z zakresu nauk przyrodniczych</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CE" w:eastAsia="Arial CE" w:hAnsi="Arial CE" w:cs="Arial CE"/>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98"/>
        </w:trPr>
        <w:tc>
          <w:tcPr>
            <w:tcW w:w="30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1.3.2</w:t>
            </w:r>
          </w:p>
        </w:tc>
        <w:tc>
          <w:tcPr>
            <w:tcW w:w="3448" w:type="dxa"/>
            <w:gridSpan w:val="4"/>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 wydatki majątkowe</w:t>
            </w:r>
          </w:p>
        </w:tc>
        <w:tc>
          <w:tcPr>
            <w:tcW w:w="54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187 626 324</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73 906 922</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44 839 709</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31 471 026</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0</w:t>
            </w:r>
          </w:p>
        </w:tc>
        <w:tc>
          <w:tcPr>
            <w:tcW w:w="46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45 960 768</w:t>
            </w:r>
          </w:p>
        </w:tc>
      </w:tr>
      <w:tr>
        <w:tblPrEx>
          <w:tblW w:w="5000" w:type="pct"/>
          <w:tblCellMar>
            <w:left w:w="108" w:type="dxa"/>
            <w:right w:w="108" w:type="dxa"/>
          </w:tblCellMar>
        </w:tblPrEx>
        <w:trPr>
          <w:trHeight w:val="210"/>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1.3.2.1</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Budowa drogi będącej przedłużeniem istniejącej ul. Kadłubka i łączącej się z ul. Długą wraz z obiektem inżynierii drogowej - etap I</w:t>
            </w:r>
          </w:p>
        </w:tc>
        <w:tc>
          <w:tcPr>
            <w:tcW w:w="786"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 xml:space="preserve">Miejski Zarząd Dróg i Mostów </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2021</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2027</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102 750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6 642</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6 642</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0</w:t>
            </w:r>
          </w:p>
        </w:tc>
      </w:tr>
      <w:tr>
        <w:tblPrEx>
          <w:tblW w:w="5000" w:type="pct"/>
          <w:tblCellMar>
            <w:left w:w="108" w:type="dxa"/>
            <w:right w:w="108" w:type="dxa"/>
          </w:tblCellMar>
        </w:tblPrEx>
        <w:trPr>
          <w:trHeight w:val="278"/>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Poprawa bezpieczeństwa oraz usprawnienie ruchu kołowego i pieszego wraz z zapewnieniem dostępu do zabudowy jednorodzinnej</w:t>
            </w:r>
          </w:p>
        </w:tc>
        <w:tc>
          <w:tcPr>
            <w:tcW w:w="786"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186"/>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1.3.2.2</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Przyłączenia do sieci dystrybucyjnej urządzeń wytwórczych energii elektrycznej</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Urząd Miejski w Bytomiu, Wydział Inżynierii Środowiska</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2021</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2026</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374 000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144 500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144 500</w:t>
            </w:r>
          </w:p>
        </w:tc>
      </w:tr>
      <w:tr>
        <w:tblPrEx>
          <w:tblW w:w="5000" w:type="pct"/>
          <w:tblCellMar>
            <w:left w:w="108" w:type="dxa"/>
            <w:right w:w="108" w:type="dxa"/>
          </w:tblCellMar>
        </w:tblPrEx>
        <w:trPr>
          <w:trHeight w:val="200"/>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Budowa farmy fotowoltaicznej. Uzyskanie warunków, dokumentacji i pozwoleń do budowy elektrowni Bytom PV 1 i PV 4</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116"/>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1.3.2.3</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Program Kolej +</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Urząd Miejski w Bytomiu, Wydział Transportu</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2023</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2028</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68 276 764</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1 061 988</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35 104 858</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31 382 026</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0</w:t>
            </w:r>
          </w:p>
        </w:tc>
      </w:tr>
      <w:tr>
        <w:tblPrEx>
          <w:tblW w:w="5000" w:type="pct"/>
          <w:tblCellMar>
            <w:left w:w="108" w:type="dxa"/>
            <w:right w:w="108" w:type="dxa"/>
          </w:tblCellMar>
        </w:tblPrEx>
        <w:trPr>
          <w:trHeight w:val="284"/>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Stworzenie nowego połączenia kolejowego Ruda Chebzie/ Zabrze - Bytom, w tym budowa nowych przystanków osobowych Ruda Orzegów i Bytom ul. Zabrzańska</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186"/>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1.3.2.4</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Przebudowa ul. Kilara i odcinków ul. Bernardyńskiej, Tuwima i Łagiewnickiej</w:t>
            </w:r>
          </w:p>
        </w:tc>
        <w:tc>
          <w:tcPr>
            <w:tcW w:w="786"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 xml:space="preserve">Miejski Zarząd Dróg i Mostów </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2022</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2026</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277 300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106 300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1 012</w:t>
            </w:r>
          </w:p>
        </w:tc>
      </w:tr>
      <w:tr>
        <w:tblPrEx>
          <w:tblW w:w="5000" w:type="pct"/>
          <w:tblCellMar>
            <w:left w:w="108" w:type="dxa"/>
            <w:right w:w="108" w:type="dxa"/>
          </w:tblCellMar>
        </w:tblPrEx>
        <w:trPr>
          <w:trHeight w:val="186"/>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Poprawa bezpieczeństwa oraz usprawnienie ruchu kołowego i pieszego</w:t>
            </w:r>
          </w:p>
        </w:tc>
        <w:tc>
          <w:tcPr>
            <w:tcW w:w="786"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r>
      <w:tr>
        <w:tblPrEx>
          <w:tblW w:w="5000" w:type="pct"/>
          <w:tblCellMar>
            <w:left w:w="108" w:type="dxa"/>
            <w:right w:w="108" w:type="dxa"/>
          </w:tblCellMar>
        </w:tblPrEx>
        <w:trPr>
          <w:trHeight w:val="196"/>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1.3.2.5</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Budowa chodnika wzdłuż ul. Żołnierskiej wraz z budową chodnika wzdłuż ul. Gombrowicza</w:t>
            </w:r>
          </w:p>
        </w:tc>
        <w:tc>
          <w:tcPr>
            <w:tcW w:w="786"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 xml:space="preserve">Miejski Zarząd Dróg i Mostów </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2022</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2026</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271 139</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55 301</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16 186</w:t>
            </w:r>
          </w:p>
        </w:tc>
      </w:tr>
      <w:tr>
        <w:tblPrEx>
          <w:tblW w:w="5000" w:type="pct"/>
          <w:tblCellMar>
            <w:left w:w="108" w:type="dxa"/>
            <w:right w:w="108" w:type="dxa"/>
          </w:tblCellMar>
        </w:tblPrEx>
        <w:trPr>
          <w:trHeight w:val="186"/>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Poprawa bezpieczeństwa oraz usprawnienie ruchu kołowego i pieszego</w:t>
            </w:r>
          </w:p>
        </w:tc>
        <w:tc>
          <w:tcPr>
            <w:tcW w:w="786"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r>
      <w:tr>
        <w:tblPrEx>
          <w:tblW w:w="5000" w:type="pct"/>
          <w:tblCellMar>
            <w:left w:w="108" w:type="dxa"/>
            <w:right w:w="108" w:type="dxa"/>
          </w:tblCellMar>
        </w:tblPrEx>
        <w:trPr>
          <w:trHeight w:val="120"/>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1.3.2.6</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Przebudowa ul. Nickla wraz ze skrzyżowaniem z ul. Daleką (RFIL)</w:t>
            </w:r>
          </w:p>
        </w:tc>
        <w:tc>
          <w:tcPr>
            <w:tcW w:w="786"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 xml:space="preserve">Miejski Zarząd Dróg i Mostów </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2021</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2026</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12 936 868</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550 000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168 292</w:t>
            </w:r>
          </w:p>
        </w:tc>
      </w:tr>
      <w:tr>
        <w:tblPrEx>
          <w:tblW w:w="5000" w:type="pct"/>
          <w:tblCellMar>
            <w:left w:w="108" w:type="dxa"/>
            <w:right w:w="108" w:type="dxa"/>
          </w:tblCellMar>
        </w:tblPrEx>
        <w:trPr>
          <w:trHeight w:val="186"/>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Poprawa bezpieczeństwa oraz usprawnienie ruchu kołowego i pieszego</w:t>
            </w:r>
          </w:p>
        </w:tc>
        <w:tc>
          <w:tcPr>
            <w:tcW w:w="786"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98"/>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1.3.2.7</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Przebudowa ulicy Frycza-Modrzewskiego  (RFIL)</w:t>
            </w:r>
          </w:p>
        </w:tc>
        <w:tc>
          <w:tcPr>
            <w:tcW w:w="786"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 xml:space="preserve">Miejski Zarząd Dróg i Mostów </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2021</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2026</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9 382 997</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8 707 225</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8 707 225</w:t>
            </w:r>
          </w:p>
        </w:tc>
      </w:tr>
      <w:tr>
        <w:tblPrEx>
          <w:tblW w:w="5000" w:type="pct"/>
          <w:tblCellMar>
            <w:left w:w="108" w:type="dxa"/>
            <w:right w:w="108" w:type="dxa"/>
          </w:tblCellMar>
        </w:tblPrEx>
        <w:trPr>
          <w:trHeight w:val="186"/>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Poprawa bezpieczeństwa oraz usprawnienie ruchu kołowego i pieszego</w:t>
            </w:r>
          </w:p>
        </w:tc>
        <w:tc>
          <w:tcPr>
            <w:tcW w:w="786"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186"/>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1.3.2.8</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Modernizacja źródła ciepła w lokalach w ramach: Programu Ciepłe Mieszkanie w Gminie Bytom rok 2022</w:t>
            </w:r>
          </w:p>
        </w:tc>
        <w:tc>
          <w:tcPr>
            <w:tcW w:w="786"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Urząd Miejski w Bytomiu, Wydział Inżynierii Środowiska</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2022</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2026</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6 805 999</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1 953 924</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1 953 924</w:t>
            </w:r>
          </w:p>
        </w:tc>
      </w:tr>
      <w:tr>
        <w:tblPrEx>
          <w:tblW w:w="5000" w:type="pct"/>
          <w:tblCellMar>
            <w:left w:w="108" w:type="dxa"/>
            <w:right w:w="108" w:type="dxa"/>
          </w:tblCellMar>
        </w:tblPrEx>
        <w:trPr>
          <w:trHeight w:val="566"/>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Poprawa jakości powietrza oraz zmniejszenie emisji pyłów oraz gazów cieplarnianych poprzez wymianę źródła ciepła i poprawę efektywności energetycznej w lokalach mieszkalnych znajdujących się w budynkach mieszkalnych wielorodzinnych na terenie Gminy Bytom. Liczba przewidywanych przedsięwzięć realizowanych w Gminie Bytom to 500 inwestycji</w:t>
            </w:r>
          </w:p>
        </w:tc>
        <w:tc>
          <w:tcPr>
            <w:tcW w:w="786"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190"/>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1.3.2.9</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Budowa i przebudowa kanalizacji deszczowej w ul. Nickla i Relaksowej (Frenzla) (Polski Ład Edycja 2)</w:t>
            </w:r>
          </w:p>
        </w:tc>
        <w:tc>
          <w:tcPr>
            <w:tcW w:w="786"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 xml:space="preserve">Miejski Zarząd Dróg i Mostów </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2023</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2026</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2 684 017</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2 559 905</w:t>
            </w:r>
          </w:p>
        </w:tc>
        <w:tc>
          <w:tcPr>
            <w:tcW w:w="464"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122 108</w:t>
            </w:r>
          </w:p>
        </w:tc>
      </w:tr>
      <w:tr>
        <w:tblPrEx>
          <w:tblW w:w="5000" w:type="pct"/>
          <w:tblCellMar>
            <w:left w:w="108" w:type="dxa"/>
            <w:right w:w="108" w:type="dxa"/>
          </w:tblCellMar>
        </w:tblPrEx>
        <w:trPr>
          <w:trHeight w:val="278"/>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Budowa i przebudowa kanalizacji grawitacyjnych 
i tłocznych w celu zapewnienia odbioru wód deszczowych z terenów dróg i terenów przylegających do terenu inwestycji</w:t>
            </w:r>
          </w:p>
        </w:tc>
        <w:tc>
          <w:tcPr>
            <w:tcW w:w="786"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r>
      <w:tr>
        <w:tblPrEx>
          <w:tblW w:w="5000" w:type="pct"/>
          <w:tblCellMar>
            <w:left w:w="108" w:type="dxa"/>
            <w:right w:w="108" w:type="dxa"/>
          </w:tblCellMar>
        </w:tblPrEx>
        <w:trPr>
          <w:trHeight w:val="186"/>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1.3.2.10</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Budowa chodnika wzdłuż ulicy Strzelców Bytomskich od Domu Seniora do granicy z gminą Tarnowskie Góry</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 xml:space="preserve">Miejski Zarząd Dróg i Mostów </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2023</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2026</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587 095</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388 976</w:t>
            </w:r>
          </w:p>
        </w:tc>
        <w:tc>
          <w:tcPr>
            <w:tcW w:w="464"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0</w:t>
            </w:r>
          </w:p>
        </w:tc>
      </w:tr>
      <w:tr>
        <w:tblPrEx>
          <w:tblW w:w="5000" w:type="pct"/>
          <w:tblCellMar>
            <w:left w:w="108" w:type="dxa"/>
            <w:right w:w="108" w:type="dxa"/>
          </w:tblCellMar>
        </w:tblPrEx>
        <w:trPr>
          <w:trHeight w:val="92"/>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Poprawa bezpieczeństwa oraz usprawnienie ruchu pieszego</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r>
      <w:tr>
        <w:tblPrEx>
          <w:tblW w:w="5000" w:type="pct"/>
          <w:tblCellMar>
            <w:left w:w="108" w:type="dxa"/>
            <w:right w:w="108" w:type="dxa"/>
          </w:tblCellMar>
        </w:tblPrEx>
        <w:trPr>
          <w:trHeight w:val="98"/>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1.3.2.11</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Przebudowa ulicy bocznej Estreichera</w:t>
            </w:r>
          </w:p>
        </w:tc>
        <w:tc>
          <w:tcPr>
            <w:tcW w:w="786"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 xml:space="preserve">Miejski Zarząd Dróg i Mostów </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2023</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2026</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59 350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3 000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48</w:t>
            </w:r>
          </w:p>
        </w:tc>
      </w:tr>
      <w:tr>
        <w:tblPrEx>
          <w:tblW w:w="5000" w:type="pct"/>
          <w:tblCellMar>
            <w:left w:w="108" w:type="dxa"/>
            <w:right w:w="108" w:type="dxa"/>
          </w:tblCellMar>
        </w:tblPrEx>
        <w:trPr>
          <w:trHeight w:val="186"/>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Poprawa bezpieczeństwa oraz usprawnienie ruchu kołowego i pieszego</w:t>
            </w:r>
          </w:p>
        </w:tc>
        <w:tc>
          <w:tcPr>
            <w:tcW w:w="786"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r>
      <w:tr>
        <w:tblPrEx>
          <w:tblW w:w="5000" w:type="pct"/>
          <w:tblCellMar>
            <w:left w:w="108" w:type="dxa"/>
            <w:right w:w="108" w:type="dxa"/>
          </w:tblCellMar>
        </w:tblPrEx>
        <w:trPr>
          <w:trHeight w:val="278"/>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1.3.2.12</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Czyszczenie, naprawa i hydrofobizacja ścian i mansard budynku Szkoły Podstawowej nr 6 przy ul. Królowej Jadwigi 2 w Bytomiu (Polski Ład)</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Urząd Miejski w Bytomiu, Wydział Realizacji Inwestycji i Remontów</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2023</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2026</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2 043 839</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983 400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0</w:t>
            </w:r>
          </w:p>
        </w:tc>
      </w:tr>
      <w:tr>
        <w:tblPrEx>
          <w:tblW w:w="5000" w:type="pct"/>
          <w:tblCellMar>
            <w:left w:w="108" w:type="dxa"/>
            <w:right w:w="108" w:type="dxa"/>
          </w:tblCellMar>
        </w:tblPrEx>
        <w:trPr>
          <w:trHeight w:val="470"/>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Oczyszczenie powierzchni elewacji oraz ograniczenie wnikania wody opadowej przez hydrofobizację strukturalną poprzedzoną wykonaną prawidłowo konserwacją cokołu i elewacji ceglanej. Przywrócenie pierwotnej estetyki elewacji oraz odsłonięcie pierwotnych detali architektonicznych</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r>
      <w:tr>
        <w:tblPrEx>
          <w:tblW w:w="5000" w:type="pct"/>
          <w:tblCellMar>
            <w:left w:w="108" w:type="dxa"/>
            <w:right w:w="108" w:type="dxa"/>
          </w:tblCellMar>
        </w:tblPrEx>
        <w:trPr>
          <w:trHeight w:val="88"/>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1.3.2.13</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Likwidacja niskiej emisji</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Bytomskie Mieszkania</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2023</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2027</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1 944 882</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420 000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470 000</w:t>
            </w:r>
          </w:p>
        </w:tc>
        <w:tc>
          <w:tcPr>
            <w:tcW w:w="464"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890 000</w:t>
            </w:r>
          </w:p>
        </w:tc>
      </w:tr>
      <w:tr>
        <w:tblPrEx>
          <w:tblW w:w="5000" w:type="pct"/>
          <w:tblCellMar>
            <w:left w:w="108" w:type="dxa"/>
            <w:right w:w="108" w:type="dxa"/>
          </w:tblCellMar>
        </w:tblPrEx>
        <w:trPr>
          <w:trHeight w:val="278"/>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Modernizacja systemu CO w budynkach mieszkalnych, wielorodzinnych wchodzących w skład zasobu gminy Bytom wraz z likwidacją niskiej emisji</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r>
      <w:tr>
        <w:tblPrEx>
          <w:tblW w:w="5000" w:type="pct"/>
          <w:tblCellMar>
            <w:left w:w="108" w:type="dxa"/>
            <w:right w:w="108" w:type="dxa"/>
          </w:tblCellMar>
        </w:tblPrEx>
        <w:trPr>
          <w:trHeight w:val="298"/>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1.3.2.14</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Dotacja celowa z Rządowego Programu Odbudowy Zabytków na realizację zadania inwestycyjnego pn. "Renowacja zabytkowego kościoła św. Wojciecha w Bytomiu, pl. Klasztorny 1"</w:t>
            </w:r>
          </w:p>
        </w:tc>
        <w:tc>
          <w:tcPr>
            <w:tcW w:w="786"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Urząd Miejski w Bytomiu, Wydział Miejskiego Konserwatora Zabytków</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2024</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2026</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3 460 001</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1 757 653</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0</w:t>
            </w:r>
          </w:p>
        </w:tc>
      </w:tr>
      <w:tr>
        <w:tblPrEx>
          <w:tblW w:w="5000" w:type="pct"/>
          <w:tblCellMar>
            <w:left w:w="108" w:type="dxa"/>
            <w:right w:w="108" w:type="dxa"/>
          </w:tblCellMar>
        </w:tblPrEx>
        <w:trPr>
          <w:trHeight w:val="162"/>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Celem projektu jest renowacja zabytkowego kościoła</w:t>
            </w:r>
          </w:p>
        </w:tc>
        <w:tc>
          <w:tcPr>
            <w:tcW w:w="786"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92"/>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1.3.2.15</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 xml:space="preserve">Budowa drogi na ulicy Wiejskiej – etap I (Polski Ład Edycja 8) </w:t>
            </w:r>
          </w:p>
        </w:tc>
        <w:tc>
          <w:tcPr>
            <w:tcW w:w="786"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 xml:space="preserve">Miejski Zarząd  Dróg i Mostów </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2020</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2026</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12 882 803</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8 045 572</w:t>
            </w:r>
          </w:p>
        </w:tc>
        <w:tc>
          <w:tcPr>
            <w:tcW w:w="464"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1 031 634</w:t>
            </w:r>
          </w:p>
        </w:tc>
      </w:tr>
      <w:tr>
        <w:tblPrEx>
          <w:tblW w:w="5000" w:type="pct"/>
          <w:tblCellMar>
            <w:left w:w="108" w:type="dxa"/>
            <w:right w:w="108" w:type="dxa"/>
          </w:tblCellMar>
        </w:tblPrEx>
        <w:trPr>
          <w:trHeight w:val="92"/>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Poprawa bezpieczeństwa oraz usprawnienie ruchu kołowego</w:t>
            </w:r>
          </w:p>
        </w:tc>
        <w:tc>
          <w:tcPr>
            <w:tcW w:w="786"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92"/>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1.3.2.16</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Przebudowa ul. Cyryla i Metodego - etap I (Polski Ład Edycja 8)</w:t>
            </w:r>
          </w:p>
        </w:tc>
        <w:tc>
          <w:tcPr>
            <w:tcW w:w="786"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 xml:space="preserve">Miejski Zarząd Dróg i Mostów </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2024</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2026</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11 335 201</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9 400 193</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644 649</w:t>
            </w:r>
          </w:p>
        </w:tc>
      </w:tr>
      <w:tr>
        <w:tblPrEx>
          <w:tblW w:w="5000" w:type="pct"/>
          <w:tblCellMar>
            <w:left w:w="108" w:type="dxa"/>
            <w:right w:w="108" w:type="dxa"/>
          </w:tblCellMar>
        </w:tblPrEx>
        <w:trPr>
          <w:trHeight w:val="204"/>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Poprawa bezpieczeństwa oraz usprawnienie ruchu kołowego i pieszego</w:t>
            </w:r>
          </w:p>
        </w:tc>
        <w:tc>
          <w:tcPr>
            <w:tcW w:w="786"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186"/>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1.3.2.17</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Budowa dróg i odwodnienia na części działki o nr geod. 1809/18 w Bytomiu (Polski Ład Edycja 8)</w:t>
            </w:r>
          </w:p>
        </w:tc>
        <w:tc>
          <w:tcPr>
            <w:tcW w:w="786"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 xml:space="preserve">Miejski Zarząd Dróg i Mostów </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2024</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2027</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13 284 000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4 583 461</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8 075 192</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0</w:t>
            </w:r>
          </w:p>
        </w:tc>
      </w:tr>
      <w:tr>
        <w:tblPrEx>
          <w:tblW w:w="5000" w:type="pct"/>
          <w:tblCellMar>
            <w:left w:w="108" w:type="dxa"/>
            <w:right w:w="108" w:type="dxa"/>
          </w:tblCellMar>
        </w:tblPrEx>
        <w:trPr>
          <w:trHeight w:val="186"/>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Poprawa bezpieczeństwa oraz usprawnienie ruchu kołowego i pieszego</w:t>
            </w:r>
          </w:p>
        </w:tc>
        <w:tc>
          <w:tcPr>
            <w:tcW w:w="786"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r>
      <w:tr>
        <w:tblPrEx>
          <w:tblW w:w="5000" w:type="pct"/>
          <w:tblCellMar>
            <w:left w:w="108" w:type="dxa"/>
            <w:right w:w="108" w:type="dxa"/>
          </w:tblCellMar>
        </w:tblPrEx>
        <w:trPr>
          <w:trHeight w:val="186"/>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1.3.2.18</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 xml:space="preserve">Budowa i przebudowa drogi gminnej (ul. Kamieńska)
w Bytomiu - etap I </w:t>
            </w:r>
          </w:p>
        </w:tc>
        <w:tc>
          <w:tcPr>
            <w:tcW w:w="786"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 xml:space="preserve">Miejski Zarząd Dróg i Mostów </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2024</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2026</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96 695</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top"/>
          </w:tcPr>
          <w:p>
            <w:pPr>
              <w:jc w:val="center"/>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top"/>
          </w:tcPr>
          <w:p>
            <w:pPr>
              <w:jc w:val="center"/>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top"/>
          </w:tcPr>
          <w:p>
            <w:pPr>
              <w:jc w:val="center"/>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top"/>
          </w:tcPr>
          <w:p>
            <w:pPr>
              <w:jc w:val="center"/>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top"/>
          </w:tcPr>
          <w:p>
            <w:pPr>
              <w:jc w:val="center"/>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top"/>
          </w:tcPr>
          <w:p>
            <w:pPr>
              <w:jc w:val="center"/>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top"/>
          </w:tcPr>
          <w:p>
            <w:pPr>
              <w:jc w:val="center"/>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top"/>
          </w:tcPr>
          <w:p>
            <w:pPr>
              <w:jc w:val="center"/>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top"/>
          </w:tcPr>
          <w:p>
            <w:pPr>
              <w:jc w:val="center"/>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top"/>
          </w:tcPr>
          <w:p>
            <w:pPr>
              <w:jc w:val="center"/>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1 000</w:t>
            </w:r>
          </w:p>
        </w:tc>
      </w:tr>
      <w:tr>
        <w:tblPrEx>
          <w:tblW w:w="5000" w:type="pct"/>
          <w:tblCellMar>
            <w:left w:w="108" w:type="dxa"/>
            <w:right w:w="108" w:type="dxa"/>
          </w:tblCellMar>
        </w:tblPrEx>
        <w:trPr>
          <w:trHeight w:val="278"/>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Usprawnienie komunikacji z Gminnym Punktem Selektywnej Zbiórki Odpadów (PSZOK) planowanego do rozbudowy składowiska odpadów</w:t>
            </w:r>
          </w:p>
        </w:tc>
        <w:tc>
          <w:tcPr>
            <w:tcW w:w="786"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top"/>
          </w:tcPr>
          <w:p>
            <w:pPr>
              <w:jc w:val="center"/>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top"/>
          </w:tcPr>
          <w:p>
            <w:pPr>
              <w:jc w:val="center"/>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top"/>
          </w:tcPr>
          <w:p>
            <w:pPr>
              <w:jc w:val="center"/>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top"/>
          </w:tcPr>
          <w:p>
            <w:pPr>
              <w:jc w:val="center"/>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top"/>
          </w:tcPr>
          <w:p>
            <w:pPr>
              <w:jc w:val="center"/>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top"/>
          </w:tcPr>
          <w:p>
            <w:pPr>
              <w:jc w:val="center"/>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top"/>
          </w:tcPr>
          <w:p>
            <w:pPr>
              <w:jc w:val="center"/>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top"/>
          </w:tcPr>
          <w:p>
            <w:pPr>
              <w:jc w:val="center"/>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top"/>
          </w:tcPr>
          <w:p>
            <w:pPr>
              <w:jc w:val="center"/>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top"/>
          </w:tcPr>
          <w:p>
            <w:pPr>
              <w:jc w:val="center"/>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r>
      <w:tr>
        <w:tblPrEx>
          <w:tblW w:w="5000" w:type="pct"/>
          <w:tblCellMar>
            <w:left w:w="108" w:type="dxa"/>
            <w:right w:w="108" w:type="dxa"/>
          </w:tblCellMar>
        </w:tblPrEx>
        <w:trPr>
          <w:trHeight w:val="186"/>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1.3.2.19</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Budowa drogi gminnej pomiędzy ul. Orzegowską
a ul. Konstytucji w Bytomiu - etap III i IV</w:t>
            </w:r>
          </w:p>
        </w:tc>
        <w:tc>
          <w:tcPr>
            <w:tcW w:w="786"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 xml:space="preserve">Miejski Zarząd Dróg i Mostów </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2023</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2027</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5 079 631</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2 118 300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1 132 727</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1 691 877</w:t>
            </w:r>
          </w:p>
        </w:tc>
      </w:tr>
      <w:tr>
        <w:tblPrEx>
          <w:tblW w:w="5000" w:type="pct"/>
          <w:tblCellMar>
            <w:left w:w="108" w:type="dxa"/>
            <w:right w:w="108" w:type="dxa"/>
          </w:tblCellMar>
        </w:tblPrEx>
        <w:trPr>
          <w:trHeight w:val="182"/>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Uatrakcyjnienie terenów przeznaczonych pod budownictwo mieszkaniowe</w:t>
            </w:r>
          </w:p>
        </w:tc>
        <w:tc>
          <w:tcPr>
            <w:tcW w:w="786"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CE" w:eastAsia="Arial CE" w:hAnsi="Arial CE" w:cs="Arial CE"/>
                <w:b w:val="0"/>
                <w:i w:val="0"/>
                <w:strike w:val="0"/>
                <w:color w:val="000000"/>
                <w:sz w:val="14"/>
                <w:u w:val="none"/>
                <w:vertAlign w:val="baseline"/>
              </w:rPr>
            </w:pPr>
          </w:p>
        </w:tc>
      </w:tr>
      <w:tr>
        <w:tblPrEx>
          <w:tblW w:w="5000" w:type="pct"/>
          <w:tblCellMar>
            <w:left w:w="108" w:type="dxa"/>
            <w:right w:w="108" w:type="dxa"/>
          </w:tblCellMar>
        </w:tblPrEx>
        <w:trPr>
          <w:trHeight w:val="186"/>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1.3.2.20</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Rozbudowa siedziby Bytomskich Mieszkań poprzez adaptację części budynku przy ul. Armii Krajowej 54B</w:t>
            </w:r>
          </w:p>
        </w:tc>
        <w:tc>
          <w:tcPr>
            <w:tcW w:w="786"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Bytomskie Mieszkania</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2024</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2026</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200 000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200 000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200 000</w:t>
            </w:r>
          </w:p>
        </w:tc>
      </w:tr>
      <w:tr>
        <w:tblPrEx>
          <w:tblW w:w="5000" w:type="pct"/>
          <w:tblCellMar>
            <w:left w:w="108" w:type="dxa"/>
            <w:right w:w="108" w:type="dxa"/>
          </w:tblCellMar>
        </w:tblPrEx>
        <w:trPr>
          <w:trHeight w:val="460"/>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Rozbudowa siedziby Bytomskich Mieszkań poprzez adaptację części budynku przy ul. Armii Krajowej 54B. Wykonanie dokumentacji projektowej niezbędnej do przeprowadzenia modernizacji pustostanów z przeznaczeniem na pomieszczenia biurowe</w:t>
            </w:r>
          </w:p>
        </w:tc>
        <w:tc>
          <w:tcPr>
            <w:tcW w:w="786"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r>
      <w:tr>
        <w:tblPrEx>
          <w:tblW w:w="5000" w:type="pct"/>
          <w:tblCellMar>
            <w:left w:w="108" w:type="dxa"/>
            <w:right w:w="108" w:type="dxa"/>
          </w:tblCellMar>
        </w:tblPrEx>
        <w:trPr>
          <w:trHeight w:val="186"/>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1.3.2.21</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Budowa kanalizacji deszczowej w rejonie ul.Chmielewskiej w Bytomiu - etap I</w:t>
            </w:r>
          </w:p>
        </w:tc>
        <w:tc>
          <w:tcPr>
            <w:tcW w:w="78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 xml:space="preserve">Miejski Zarząd Dróg i Mostów </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2025</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2027</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151 320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42 370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33 290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0</w:t>
            </w:r>
          </w:p>
        </w:tc>
      </w:tr>
      <w:tr>
        <w:tblPrEx>
          <w:tblW w:w="5000" w:type="pct"/>
          <w:tblCellMar>
            <w:left w:w="108" w:type="dxa"/>
            <w:right w:w="108" w:type="dxa"/>
          </w:tblCellMar>
        </w:tblPrEx>
        <w:trPr>
          <w:trHeight w:val="274"/>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Opracowanie dokumentacji projektowej do budowy kanalizacji deszczowej w rejonie ul. Chmielewskiej, Planeta, Trampisza, Fredry i Kofty</w:t>
            </w:r>
          </w:p>
        </w:tc>
        <w:tc>
          <w:tcPr>
            <w:tcW w:w="78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CE" w:eastAsia="Arial CE" w:hAnsi="Arial CE" w:cs="Arial CE"/>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r>
      <w:tr>
        <w:tblPrEx>
          <w:tblW w:w="5000" w:type="pct"/>
          <w:tblCellMar>
            <w:left w:w="108" w:type="dxa"/>
            <w:right w:w="108" w:type="dxa"/>
          </w:tblCellMar>
        </w:tblPrEx>
        <w:trPr>
          <w:trHeight w:val="92"/>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1.3.2.22</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Przebudowa ul. Pasteura w Bytomiu - etap I </w:t>
            </w:r>
          </w:p>
        </w:tc>
        <w:tc>
          <w:tcPr>
            <w:tcW w:w="786"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 xml:space="preserve">Miejski Zarząd Dróg i Mostów </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2025</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2028</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100 000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8 000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10 000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82 000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100 000</w:t>
            </w:r>
          </w:p>
        </w:tc>
      </w:tr>
      <w:tr>
        <w:tblPrEx>
          <w:tblW w:w="5000" w:type="pct"/>
          <w:tblCellMar>
            <w:left w:w="108" w:type="dxa"/>
            <w:right w:w="108" w:type="dxa"/>
          </w:tblCellMar>
        </w:tblPrEx>
        <w:trPr>
          <w:trHeight w:val="182"/>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Poprawa bezpieczeństwa oraz usprawnienie ruchu kołowego
i pieszego</w:t>
            </w:r>
          </w:p>
        </w:tc>
        <w:tc>
          <w:tcPr>
            <w:tcW w:w="786"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r>
      <w:tr>
        <w:tblPrEx>
          <w:tblW w:w="5000" w:type="pct"/>
          <w:tblCellMar>
            <w:left w:w="108" w:type="dxa"/>
            <w:right w:w="108" w:type="dxa"/>
          </w:tblCellMar>
        </w:tblPrEx>
        <w:trPr>
          <w:trHeight w:val="186"/>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1.3.2.23</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Przebudowa wiaduktu nad ul. Siemianowicką w ciągu DW911 w Bytomiu</w:t>
            </w:r>
          </w:p>
        </w:tc>
        <w:tc>
          <w:tcPr>
            <w:tcW w:w="786"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 xml:space="preserve">Miejski Zarząd Dróg i Mostów </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2025</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2028</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664 000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450 000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7 000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7 000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117 880</w:t>
            </w:r>
          </w:p>
        </w:tc>
      </w:tr>
      <w:tr>
        <w:tblPrEx>
          <w:tblW w:w="5000" w:type="pct"/>
          <w:tblCellMar>
            <w:left w:w="108" w:type="dxa"/>
            <w:right w:w="108" w:type="dxa"/>
          </w:tblCellMar>
        </w:tblPrEx>
        <w:trPr>
          <w:trHeight w:val="186"/>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Poprawa bezpieczeństwa oraz usprawnienie ruchu kołowego
i pieszego</w:t>
            </w:r>
          </w:p>
        </w:tc>
        <w:tc>
          <w:tcPr>
            <w:tcW w:w="786"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r>
      <w:tr>
        <w:tblPrEx>
          <w:tblW w:w="5000" w:type="pct"/>
          <w:tblCellMar>
            <w:left w:w="108" w:type="dxa"/>
            <w:right w:w="108" w:type="dxa"/>
          </w:tblCellMar>
        </w:tblPrEx>
        <w:trPr>
          <w:trHeight w:val="92"/>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1.3.2.24</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Przebudowa kładki dla pieszych nad ul. Wrocławską i Kolejową</w:t>
            </w:r>
          </w:p>
        </w:tc>
        <w:tc>
          <w:tcPr>
            <w:tcW w:w="786"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 xml:space="preserve">Miejski Zarząd Dróg i Mostów </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2025</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2026</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213 727</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213 727</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84 577</w:t>
            </w:r>
          </w:p>
        </w:tc>
      </w:tr>
      <w:tr>
        <w:tblPrEx>
          <w:tblW w:w="5000" w:type="pct"/>
          <w:tblCellMar>
            <w:left w:w="108" w:type="dxa"/>
            <w:right w:w="108" w:type="dxa"/>
          </w:tblCellMar>
        </w:tblPrEx>
        <w:trPr>
          <w:trHeight w:val="186"/>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Poprawa warunków komunikacyjnych oraz bezpieczeństwa mieszkańców</w:t>
            </w:r>
          </w:p>
        </w:tc>
        <w:tc>
          <w:tcPr>
            <w:tcW w:w="786"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r>
      <w:tr>
        <w:tblPrEx>
          <w:tblW w:w="5000" w:type="pct"/>
          <w:tblCellMar>
            <w:left w:w="108" w:type="dxa"/>
            <w:right w:w="108" w:type="dxa"/>
          </w:tblCellMar>
        </w:tblPrEx>
        <w:trPr>
          <w:trHeight w:val="186"/>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1.3.2.25</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Modernizacja układu zasilania fontanny przy
ul. Stolarzowickiej</w:t>
            </w:r>
          </w:p>
        </w:tc>
        <w:tc>
          <w:tcPr>
            <w:tcW w:w="786"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 xml:space="preserve">Miejski Zarząd Dróg i Mostów </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2025</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2026</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31 799</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30 692</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30 692</w:t>
            </w:r>
          </w:p>
        </w:tc>
      </w:tr>
      <w:tr>
        <w:tblPrEx>
          <w:tblW w:w="5000" w:type="pct"/>
          <w:tblCellMar>
            <w:left w:w="108" w:type="dxa"/>
            <w:right w:w="108" w:type="dxa"/>
          </w:tblCellMar>
        </w:tblPrEx>
        <w:trPr>
          <w:trHeight w:val="186"/>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Przyłączenie do miejskiej sieci elektroenergetycznej - obniżenie opłat za energię elektryczną</w:t>
            </w:r>
          </w:p>
        </w:tc>
        <w:tc>
          <w:tcPr>
            <w:tcW w:w="786"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r>
      <w:tr>
        <w:tblPrEx>
          <w:tblW w:w="5000" w:type="pct"/>
          <w:tblCellMar>
            <w:left w:w="108" w:type="dxa"/>
            <w:right w:w="108" w:type="dxa"/>
          </w:tblCellMar>
        </w:tblPrEx>
        <w:trPr>
          <w:trHeight w:val="92"/>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1.3.2.26</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Budowa latarni na ul. Dolomitowej</w:t>
            </w:r>
          </w:p>
        </w:tc>
        <w:tc>
          <w:tcPr>
            <w:tcW w:w="786"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 xml:space="preserve">Miejski Zarząd Dróg i Mostów </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2025</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2026</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51 107</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50 000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50 000</w:t>
            </w:r>
          </w:p>
        </w:tc>
      </w:tr>
      <w:tr>
        <w:tblPrEx>
          <w:tblW w:w="5000" w:type="pct"/>
          <w:tblCellMar>
            <w:left w:w="108" w:type="dxa"/>
            <w:right w:w="108" w:type="dxa"/>
          </w:tblCellMar>
        </w:tblPrEx>
        <w:trPr>
          <w:trHeight w:val="92"/>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Zapewnienie komfortu i bezpieczeństwa mieszkańców</w:t>
            </w:r>
          </w:p>
        </w:tc>
        <w:tc>
          <w:tcPr>
            <w:tcW w:w="786"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r>
      <w:tr>
        <w:tblPrEx>
          <w:tblW w:w="5000" w:type="pct"/>
          <w:tblCellMar>
            <w:left w:w="108" w:type="dxa"/>
            <w:right w:w="108" w:type="dxa"/>
          </w:tblCellMar>
        </w:tblPrEx>
        <w:trPr>
          <w:trHeight w:val="306"/>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1.3.2.27</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Przebudowa dróg i chodników wraz z infrastrukturą towarzyszącą w części ulic Piłsudskiego, Matejki, Krakowskiej oraz pl. Sobieskiego w Bytomiu (Polski Ład)</w:t>
            </w:r>
          </w:p>
        </w:tc>
        <w:tc>
          <w:tcPr>
            <w:tcW w:w="786"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 xml:space="preserve">Miejski Zarząd Dróg i Mostów </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2021</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2026</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34 258 069</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29 999 993</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29 999 993</w:t>
            </w:r>
          </w:p>
        </w:tc>
      </w:tr>
      <w:tr>
        <w:tblPrEx>
          <w:tblW w:w="5000" w:type="pct"/>
          <w:tblCellMar>
            <w:left w:w="108" w:type="dxa"/>
            <w:right w:w="108" w:type="dxa"/>
          </w:tblCellMar>
        </w:tblPrEx>
        <w:trPr>
          <w:trHeight w:val="474"/>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Przebudowa jezdni, chodników, miejsc postojowych wraz z modernizacją kanalizacji deszczowej obejmującą retencjonowanie wód w celu poprawy bezpieczeństwa, ograniczenia hałasu i występowania podtopień oraz wsparcia procesów rewitalizacji centrum miasta</w:t>
            </w:r>
          </w:p>
        </w:tc>
        <w:tc>
          <w:tcPr>
            <w:tcW w:w="786"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r>
      <w:tr>
        <w:tblPrEx>
          <w:tblW w:w="5000" w:type="pct"/>
          <w:tblCellMar>
            <w:left w:w="108" w:type="dxa"/>
            <w:right w:w="108" w:type="dxa"/>
          </w:tblCellMar>
        </w:tblPrEx>
        <w:trPr>
          <w:trHeight w:val="204"/>
        </w:trPr>
        <w:tc>
          <w:tcPr>
            <w:tcW w:w="30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1.3.2.28</w:t>
            </w: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Przebudowa łącznika pomiędzy ul. Kolejową a ul. Ignacego Chrzanowskiego w Bytomiu</w:t>
            </w:r>
          </w:p>
        </w:tc>
        <w:tc>
          <w:tcPr>
            <w:tcW w:w="786"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Miejski Zarząd Dróg i Mostów</w:t>
            </w:r>
          </w:p>
        </w:tc>
        <w:tc>
          <w:tcPr>
            <w:tcW w:w="222"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2024</w:t>
            </w:r>
          </w:p>
        </w:tc>
        <w:tc>
          <w:tcPr>
            <w:tcW w:w="228"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2026</w:t>
            </w:r>
          </w:p>
        </w:tc>
        <w:tc>
          <w:tcPr>
            <w:tcW w:w="54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70 971</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64 800</w:t>
            </w: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r>
              <w:rPr>
                <w:rFonts w:ascii="Arial CE" w:eastAsia="Arial CE" w:hAnsi="Arial CE" w:cs="Arial CE"/>
                <w:b w:val="0"/>
                <w:i w:val="0"/>
                <w:strike w:val="0"/>
                <w:color w:val="000000"/>
                <w:sz w:val="14"/>
                <w:u w:val="none"/>
                <w:vertAlign w:val="baseline"/>
              </w:rPr>
              <w:t>5 171</w:t>
            </w:r>
          </w:p>
        </w:tc>
      </w:tr>
      <w:tr>
        <w:tblPrEx>
          <w:tblW w:w="5000" w:type="pct"/>
          <w:tblCellMar>
            <w:left w:w="108" w:type="dxa"/>
            <w:right w:w="108" w:type="dxa"/>
          </w:tblCellMar>
        </w:tblPrEx>
        <w:trPr>
          <w:trHeight w:val="190"/>
        </w:trPr>
        <w:tc>
          <w:tcPr>
            <w:tcW w:w="30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12"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top"/>
          </w:tcPr>
          <w:p>
            <w:pPr>
              <w:jc w:val="lef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Poprawa bezpieczeństwa oraz usprawnienie ruchu kołowego i pieszego</w:t>
            </w:r>
          </w:p>
        </w:tc>
        <w:tc>
          <w:tcPr>
            <w:tcW w:w="786"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pPr>
              <w:jc w:val="left"/>
              <w:rPr>
                <w:rFonts w:ascii="Arial" w:eastAsia="Arial" w:hAnsi="Arial" w:cs="Arial"/>
                <w:b w:val="0"/>
                <w:i w:val="0"/>
                <w:strike w:val="0"/>
                <w:color w:val="000000"/>
                <w:sz w:val="14"/>
                <w:u w:val="none"/>
                <w:vertAlign w:val="baseline"/>
              </w:rPr>
            </w:pPr>
          </w:p>
        </w:tc>
        <w:tc>
          <w:tcPr>
            <w:tcW w:w="222"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228"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CE" w:eastAsia="Arial CE" w:hAnsi="Arial CE" w:cs="Arial CE"/>
                <w:b w:val="0"/>
                <w:i w:val="0"/>
                <w:strike w:val="0"/>
                <w:color w:val="000000"/>
                <w:sz w:val="14"/>
                <w:u w:val="none"/>
                <w:vertAlign w:val="baseline"/>
              </w:rPr>
            </w:pPr>
          </w:p>
        </w:tc>
        <w:tc>
          <w:tcPr>
            <w:tcW w:w="54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val="0"/>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center"/>
              <w:rPr>
                <w:rFonts w:ascii="Arial" w:eastAsia="Arial" w:hAnsi="Arial" w:cs="Arial"/>
                <w:b/>
                <w:i w:val="0"/>
                <w:strike w:val="0"/>
                <w:color w:val="000000"/>
                <w:sz w:val="14"/>
                <w:u w:val="none"/>
                <w:vertAlign w:val="baseline"/>
              </w:rPr>
            </w:pPr>
          </w:p>
        </w:tc>
        <w:tc>
          <w:tcPr>
            <w:tcW w:w="46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pPr>
              <w:jc w:val="right"/>
              <w:rPr>
                <w:rFonts w:ascii="Arial CE" w:eastAsia="Arial CE" w:hAnsi="Arial CE" w:cs="Arial CE"/>
                <w:b w:val="0"/>
                <w:i w:val="0"/>
                <w:strike w:val="0"/>
                <w:color w:val="000000"/>
                <w:sz w:val="14"/>
                <w:u w:val="none"/>
                <w:vertAlign w:val="baseline"/>
              </w:rPr>
            </w:pPr>
          </w:p>
        </w:tc>
      </w:tr>
    </w:tbl>
    <w:p/>
    <w:p>
      <w:pPr>
        <w:sectPr>
          <w:footerReference w:type="default" r:id="rId8"/>
          <w:endnotePr>
            <w:numFmt w:val="decimal"/>
          </w:endnotePr>
          <w:type w:val="nextPage"/>
          <w:pgSz w:w="16838" w:h="11906" w:orient="landscape"/>
          <w:pgMar w:top="283" w:right="737" w:bottom="1020" w:left="737" w:header="708" w:footer="708" w:gutter="0"/>
          <w:cols w:space="708"/>
          <w:docGrid w:linePitch="360"/>
        </w:sectPr>
      </w:pPr>
    </w:p>
    <w:p>
      <w:pPr>
        <w:keepNext/>
        <w:keepLines w:val="0"/>
        <w:widowControl/>
        <w:suppressLineNumbers w:val="0"/>
        <w:shd w:val="clear" w:color="auto" w:fill="auto"/>
        <w:suppressAutoHyphens w:val="0"/>
        <w:spacing w:before="240" w:beforeAutospacing="0" w:after="120" w:afterAutospacing="0" w:line="240" w:lineRule="auto"/>
        <w:ind w:left="0" w:right="0" w:firstLine="0"/>
        <w:contextualSpacing w:val="0"/>
        <w:jc w:val="center"/>
        <w:outlineLvl w:val="0"/>
        <w:rPr>
          <w:rFonts w:eastAsia="Times New Roman" w:cs="Times New Roman"/>
          <w:b/>
          <w:szCs w:val="20"/>
          <w:lang w:bidi="ar-SA"/>
        </w:rPr>
      </w:pPr>
      <w:r>
        <w:rPr>
          <w:rFonts w:eastAsia="Times New Roman" w:cs="Times New Roman"/>
          <w:b/>
          <w:szCs w:val="20"/>
          <w:lang w:bidi="ar-SA"/>
        </w:rPr>
        <w:t>OBJAŚNIENIE WARTOŚCI PRZYJĘTYCH W WIELOLETNIEJ PROGNOZIE FINANSOWEJ</w:t>
      </w:r>
    </w:p>
    <w:p>
      <w:pPr>
        <w:keepNext/>
        <w:keepLines w:val="0"/>
        <w:widowControl/>
        <w:suppressLineNumbers w:val="0"/>
        <w:shd w:val="clear" w:color="auto" w:fill="auto"/>
        <w:suppressAutoHyphens w:val="0"/>
        <w:spacing w:before="0" w:beforeAutospacing="0" w:after="240" w:afterAutospacing="0" w:line="240" w:lineRule="auto"/>
        <w:ind w:left="0" w:right="0" w:firstLine="0"/>
        <w:contextualSpacing w:val="0"/>
        <w:jc w:val="center"/>
        <w:outlineLvl w:val="0"/>
        <w:rPr>
          <w:rFonts w:eastAsia="Times New Roman" w:cs="Times New Roman"/>
          <w:b/>
          <w:szCs w:val="20"/>
          <w:lang w:bidi="ar-SA"/>
        </w:rPr>
      </w:pPr>
      <w:r>
        <w:rPr>
          <w:rFonts w:eastAsia="Times New Roman" w:cs="Times New Roman"/>
          <w:b/>
          <w:szCs w:val="20"/>
          <w:lang w:bidi="ar-SA"/>
        </w:rPr>
        <w:t>MIASTA BYTOMIA NA LATA 2026-2046</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 xml:space="preserve">Na podstawie art. 226 ust. 2a ustawy z dnia 27 sierpnia 2009 r. o finansach publicznych, do wieloletniej prognozy finansowej dołącza się objaśnienia przyjętych wartości. Przedstawiają one prognozowane wartości podstawowych parametrów budżetowych dla wszystkich lat objętych prognozą, zgodnie z dyspozycją art. 226 ust. 1 cytowanej ustawy. </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Prognoza obejmuje lata 2026-2046 i została sporządzona zgodnie ze wzorem określonym w Rozporządzeniu Ministra Finansów w sprawie wieloletniej prognozy finansowej jednostki samorządu terytorialnego z uwzględnieniem wytycznych Ministra Finansów i Gospodarki (dalej MF) dotyczących stosowania jednolitych wskaźników makroekonomicznych będących podstawą oszacowania skutków finansowych projektowanych ustaw z dnia 17 lipca 2025 r.</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b/>
          <w:szCs w:val="20"/>
          <w:lang w:bidi="ar-SA"/>
        </w:rPr>
        <w:t>Ze względu na przyjęte odrębności i specyfikę założeń determinujących podstawowe wielkości budżetu, a w szczególności jego dochody bieżące w latach 2026-2029, nie można przy jego ocenie zastosować automatycznego przeliczenia wszystkich parametrów o wskaźniki makroekonomiczne (dotyczy to w szczególności dochodów bieżących w zakresie podatku od nieruchomości, który skalkulowano zgodnie z zaplanowanymi do podjęcia uchwałami w sprawie stawek tego podatku, dochodami stanowiącymi udziały miasta w dochodach z tytułu PIT i CIT, oraz subwencji ogólnej – szczegółowe założenia opisano w rozdziale 1.1 i 1.2). Dlatego w poszczególnych podpunktach szczegółowo przedstawiono wyjaśnienia, które uzasadniają wartości budżetu we wszystkich latach analizy</w:t>
      </w:r>
      <w:r>
        <w:rPr>
          <w:rFonts w:eastAsia="Times New Roman" w:cs="Times New Roman"/>
          <w:szCs w:val="20"/>
          <w:lang w:bidi="ar-SA"/>
        </w:rPr>
        <w:t>.</w:t>
      </w:r>
    </w:p>
    <w:p>
      <w:pPr>
        <w:keepNext w:val="0"/>
        <w:keepLines w:val="0"/>
        <w:widowControl/>
        <w:suppressLineNumbers w:val="0"/>
        <w:shd w:val="clear" w:color="auto" w:fill="auto"/>
        <w:tabs>
          <w:tab w:val="left" w:pos="567"/>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Wieloletnia prognoza finansowa została sporządzona na lata 2026-2046, tj. okres, na który przewidziano pełną spłatę zobowiązań ujętych w prognozie kwoty długu. Projektowana prognoza jest co do zasady spójna z obecnie obowiązującą wieloletnią prognozą finansową na lata 2025-2046, tzn. zawarte w niej przedsięwzięcia uwzględniono w nowej prognozie, zaś założenia prognostyczne w zakresie dochodów i wydatków oraz przychodów i rozchodów stanowią pochodną obowiązującej prognozy, z uwzględnieniem modyfikacji wynikających z wejścia w życie od dnia 1 stycznia 2025 r. ustawy z dnia 1 października 2024 r. o dochodach jednostek samorządu terytorialnego oraz jej zmiany.</w:t>
      </w:r>
    </w:p>
    <w:p>
      <w:pPr>
        <w:keepNext w:val="0"/>
        <w:keepLines w:val="0"/>
        <w:widowControl/>
        <w:suppressLineNumbers w:val="0"/>
        <w:shd w:val="clear" w:color="auto" w:fill="auto"/>
        <w:tabs>
          <w:tab w:val="left" w:pos="567"/>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Dla uproszczenia procedury zmian w wieloletniej prognozie finansowej, która dla jednostki samorządu terytorialnego jest dokumentem obowiązkowym, zakłada się uchylenie obowiązującej obecnie prognozy na lata 2025-2046 i zastąpienie jej nową uchwałą, której częścią są niniejsze objaśnienia.</w:t>
      </w:r>
    </w:p>
    <w:p>
      <w:pPr>
        <w:keepNext w:val="0"/>
        <w:keepLines w:val="0"/>
        <w:widowControl/>
        <w:suppressLineNumbers w:val="0"/>
        <w:shd w:val="clear" w:color="auto" w:fill="auto"/>
        <w:tabs>
          <w:tab w:val="left" w:pos="567"/>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 xml:space="preserve">Opracowując prognozę uwzględniono dostępne dane dotyczące sytuacji finansowej miasta zgromadzone w związku z procesem projektowania budżetu na 2026 rok. </w:t>
      </w:r>
      <w:r>
        <w:rPr>
          <w:rFonts w:eastAsia="Times New Roman" w:cs="Times New Roman"/>
          <w:b/>
          <w:szCs w:val="20"/>
          <w:lang w:bidi="ar-SA"/>
        </w:rPr>
        <w:t>Prognoza uwzględnia istotne założenia, a w szczególności algorytmy wynikające z wyżej cytowanej ustawy o dochodach jednostek samorządu terytorialnego, które w sposób istotny zmieniły zasady dotyczące naliczania i przekazywania podstawowych dochodów jst</w:t>
      </w:r>
      <w:r>
        <w:rPr>
          <w:rFonts w:eastAsia="Times New Roman" w:cs="Times New Roman"/>
          <w:szCs w:val="20"/>
          <w:lang w:bidi="ar-SA"/>
        </w:rPr>
        <w:t>. Na podstawie ustawy oraz w oparciu o przekazane przez MF dane, szczegółowo przeanalizowano i wyliczono dochody z tytułu udziału w podatku dochodowym od osób fizycznych i prawnych, subwencji ogólnej oraz potrzeb wydatkowych w latach 2027-2029 z uwzględnieniem korekty złożonej przez miasto Bytom, co szczegółowo opisano poniżej. Kalkulacji dochodów i wydatków na kolejne lata dokonano w oparciu o wytyczne MF oraz wskaźniki wynikające z ustawy o dochodach jst określone w tej ustawie.</w:t>
      </w:r>
    </w:p>
    <w:p>
      <w:pPr>
        <w:keepNext w:val="0"/>
        <w:keepLines w:val="0"/>
        <w:widowControl/>
        <w:suppressLineNumbers w:val="0"/>
        <w:shd w:val="clear" w:color="auto" w:fill="auto"/>
        <w:suppressAutoHyphens w:val="0"/>
        <w:spacing w:before="240" w:beforeAutospacing="0" w:after="240" w:afterAutospacing="0" w:line="240" w:lineRule="auto"/>
        <w:ind w:left="0" w:right="0" w:firstLine="0"/>
        <w:contextualSpacing w:val="0"/>
        <w:jc w:val="both"/>
        <w:rPr>
          <w:rFonts w:eastAsia="Times New Roman" w:cs="Times New Roman"/>
          <w:b/>
          <w:szCs w:val="20"/>
          <w:lang w:bidi="ar-SA"/>
        </w:rPr>
      </w:pPr>
      <w:r>
        <w:rPr>
          <w:rFonts w:eastAsia="Times New Roman" w:cs="Times New Roman"/>
          <w:b/>
          <w:szCs w:val="20"/>
          <w:lang w:bidi="ar-SA"/>
        </w:rPr>
        <w:t xml:space="preserve">1. DOCHODY OGÓŁEM </w:t>
      </w:r>
    </w:p>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Szczegółowe założenia dotyczące prognozy dochodów w ujęciu makroekonomicznym:</w:t>
      </w:r>
    </w:p>
    <w:p>
      <w:pPr>
        <w:keepNext w:val="0"/>
        <w:keepLines w:val="0"/>
        <w:widowControl/>
        <w:suppressLineNumbers w:val="0"/>
        <w:shd w:val="clear" w:color="auto" w:fill="auto"/>
        <w:suppressAutoHyphens w:val="0"/>
        <w:spacing w:before="0" w:beforeAutospacing="0" w:after="12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kwota w zł</w:t>
      </w:r>
      <w:r>
        <w:rPr>
          <w:rFonts w:eastAsia="Times New Roman" w:cs="Times New Roman"/>
          <w:sz w:val="16"/>
          <w:szCs w:val="20"/>
        </w:rPr>
        <w:t>otych</w:t>
      </w:r>
    </w:p>
    <w:tbl>
      <w:tblPr>
        <w:tblStyle w:val="TableNormal"/>
        <w:tblW w:w="148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2532"/>
        <w:gridCol w:w="1224"/>
        <w:gridCol w:w="843"/>
        <w:gridCol w:w="1701"/>
        <w:gridCol w:w="1701"/>
        <w:gridCol w:w="1701"/>
        <w:gridCol w:w="1701"/>
        <w:gridCol w:w="1701"/>
        <w:gridCol w:w="1707"/>
      </w:tblGrid>
      <w:tr>
        <w:tblPrEx>
          <w:tblW w:w="148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Ex>
        <w:trPr>
          <w:cantSplit/>
          <w:trHeight w:val="255"/>
        </w:trPr>
        <w:tc>
          <w:tcPr>
            <w:tcW w:w="4599" w:type="dxa"/>
            <w:gridSpan w:val="3"/>
            <w:vMerge w:val="restart"/>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lang w:bidi="ar-SA"/>
              </w:rPr>
            </w:pPr>
            <w:r>
              <w:rPr>
                <w:rFonts w:eastAsia="Times New Roman" w:cs="Times New Roman"/>
                <w:b/>
                <w:sz w:val="20"/>
                <w:szCs w:val="20"/>
                <w:lang w:bidi="ar-SA"/>
              </w:rPr>
              <w:t>Założenia do WPF 2026-2046</w:t>
            </w:r>
          </w:p>
        </w:tc>
        <w:tc>
          <w:tcPr>
            <w:tcW w:w="3402" w:type="dxa"/>
            <w:gridSpan w:val="2"/>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lang w:bidi="ar-SA"/>
              </w:rPr>
            </w:pPr>
            <w:r>
              <w:rPr>
                <w:rFonts w:eastAsia="Times New Roman" w:cs="Times New Roman"/>
                <w:b/>
                <w:sz w:val="20"/>
                <w:szCs w:val="20"/>
                <w:lang w:bidi="ar-SA"/>
              </w:rPr>
              <w:t>2025</w:t>
            </w:r>
          </w:p>
        </w:tc>
        <w:tc>
          <w:tcPr>
            <w:tcW w:w="1701" w:type="dxa"/>
            <w:vMerge w:val="restart"/>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lang w:bidi="ar-SA"/>
              </w:rPr>
            </w:pPr>
            <w:r>
              <w:rPr>
                <w:rFonts w:eastAsia="Times New Roman" w:cs="Times New Roman"/>
                <w:b/>
                <w:sz w:val="20"/>
                <w:szCs w:val="20"/>
                <w:lang w:bidi="ar-SA"/>
              </w:rPr>
              <w:t>2026</w:t>
            </w:r>
          </w:p>
        </w:tc>
        <w:tc>
          <w:tcPr>
            <w:tcW w:w="1701" w:type="dxa"/>
            <w:vMerge w:val="restart"/>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lang w:bidi="ar-SA"/>
              </w:rPr>
            </w:pPr>
            <w:r>
              <w:rPr>
                <w:rFonts w:eastAsia="Times New Roman" w:cs="Times New Roman"/>
                <w:b/>
                <w:sz w:val="20"/>
                <w:szCs w:val="20"/>
                <w:lang w:bidi="ar-SA"/>
              </w:rPr>
              <w:t>2027</w:t>
            </w:r>
          </w:p>
        </w:tc>
        <w:tc>
          <w:tcPr>
            <w:tcW w:w="1701" w:type="dxa"/>
            <w:vMerge w:val="restart"/>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lang w:bidi="ar-SA"/>
              </w:rPr>
            </w:pPr>
            <w:r>
              <w:rPr>
                <w:rFonts w:eastAsia="Times New Roman" w:cs="Times New Roman"/>
                <w:b/>
                <w:sz w:val="20"/>
                <w:szCs w:val="20"/>
                <w:lang w:bidi="ar-SA"/>
              </w:rPr>
              <w:t>2028</w:t>
            </w:r>
          </w:p>
        </w:tc>
        <w:tc>
          <w:tcPr>
            <w:tcW w:w="1707" w:type="dxa"/>
            <w:vMerge w:val="restart"/>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lang w:bidi="ar-SA"/>
              </w:rPr>
            </w:pPr>
            <w:r>
              <w:rPr>
                <w:rFonts w:eastAsia="Times New Roman" w:cs="Times New Roman"/>
                <w:b/>
                <w:sz w:val="20"/>
                <w:szCs w:val="20"/>
                <w:lang w:bidi="ar-SA"/>
              </w:rPr>
              <w:t>2029</w:t>
            </w:r>
          </w:p>
        </w:tc>
      </w:tr>
      <w:tr>
        <w:tblPrEx>
          <w:tblW w:w="14811" w:type="dxa"/>
          <w:tblLayout w:type="fixed"/>
          <w:tblCellMar>
            <w:left w:w="70" w:type="dxa"/>
            <w:right w:w="70" w:type="dxa"/>
          </w:tblCellMar>
          <w:tblLook w:val="04A0"/>
        </w:tblPrEx>
        <w:trPr>
          <w:cantSplit/>
          <w:trHeight w:val="312"/>
        </w:trPr>
        <w:tc>
          <w:tcPr>
            <w:tcW w:w="4599" w:type="dxa"/>
            <w:gridSpan w:val="3"/>
            <w:vMerge/>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b/>
                <w:sz w:val="20"/>
                <w:szCs w:val="20"/>
                <w:lang w:bidi="ar-SA"/>
              </w:rPr>
            </w:pPr>
          </w:p>
        </w:tc>
        <w:tc>
          <w:tcPr>
            <w:tcW w:w="1701"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lang w:bidi="ar-SA"/>
              </w:rPr>
            </w:pPr>
            <w:r>
              <w:rPr>
                <w:rFonts w:eastAsia="Times New Roman" w:cs="Times New Roman"/>
                <w:b/>
                <w:sz w:val="20"/>
                <w:szCs w:val="20"/>
                <w:lang w:bidi="ar-SA"/>
              </w:rPr>
              <w:t>plan pierwotny na 01.01.2025</w:t>
            </w:r>
          </w:p>
        </w:tc>
        <w:tc>
          <w:tcPr>
            <w:tcW w:w="1701"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lang w:bidi="ar-SA"/>
              </w:rPr>
            </w:pPr>
            <w:r>
              <w:rPr>
                <w:rFonts w:eastAsia="Times New Roman" w:cs="Times New Roman"/>
                <w:b/>
                <w:sz w:val="20"/>
                <w:szCs w:val="20"/>
                <w:lang w:bidi="ar-SA"/>
              </w:rPr>
              <w:t>plan po zmianach na 30.09.2025</w:t>
            </w:r>
          </w:p>
        </w:tc>
        <w:tc>
          <w:tcPr>
            <w:tcW w:w="1701" w:type="dxa"/>
            <w:vMerge/>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b/>
                <w:sz w:val="20"/>
                <w:szCs w:val="20"/>
                <w:lang w:bidi="ar-SA"/>
              </w:rPr>
            </w:pPr>
          </w:p>
        </w:tc>
        <w:tc>
          <w:tcPr>
            <w:tcW w:w="1701" w:type="dxa"/>
            <w:vMerge/>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b/>
                <w:sz w:val="20"/>
                <w:szCs w:val="20"/>
                <w:lang w:bidi="ar-SA"/>
              </w:rPr>
            </w:pPr>
          </w:p>
        </w:tc>
        <w:tc>
          <w:tcPr>
            <w:tcW w:w="1701" w:type="dxa"/>
            <w:vMerge/>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b/>
                <w:sz w:val="20"/>
                <w:szCs w:val="20"/>
                <w:lang w:bidi="ar-SA"/>
              </w:rPr>
            </w:pPr>
          </w:p>
        </w:tc>
        <w:tc>
          <w:tcPr>
            <w:tcW w:w="1707" w:type="dxa"/>
            <w:vMerge/>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b/>
                <w:sz w:val="20"/>
                <w:szCs w:val="20"/>
                <w:lang w:bidi="ar-SA"/>
              </w:rPr>
            </w:pPr>
          </w:p>
        </w:tc>
      </w:tr>
      <w:tr>
        <w:tblPrEx>
          <w:tblW w:w="14811" w:type="dxa"/>
          <w:tblLayout w:type="fixed"/>
          <w:tblCellMar>
            <w:left w:w="70" w:type="dxa"/>
            <w:right w:w="70" w:type="dxa"/>
          </w:tblCellMar>
          <w:tblLook w:val="04A0"/>
        </w:tblPrEx>
        <w:trPr>
          <w:cantSplit/>
          <w:trHeight w:val="283"/>
        </w:trPr>
        <w:tc>
          <w:tcPr>
            <w:tcW w:w="4599" w:type="dxa"/>
            <w:gridSpan w:val="3"/>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b/>
                <w:sz w:val="20"/>
                <w:szCs w:val="20"/>
                <w:lang w:bidi="ar-SA"/>
              </w:rPr>
            </w:pPr>
            <w:r>
              <w:rPr>
                <w:rFonts w:eastAsia="Times New Roman" w:cs="Times New Roman"/>
                <w:b/>
                <w:sz w:val="20"/>
                <w:szCs w:val="20"/>
                <w:lang w:bidi="ar-SA"/>
              </w:rPr>
              <w:t>Dochody ogółem</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lang w:bidi="ar-SA"/>
              </w:rPr>
            </w:pPr>
            <w:r>
              <w:rPr>
                <w:rFonts w:eastAsia="Times New Roman" w:cs="Times New Roman"/>
                <w:b/>
                <w:sz w:val="20"/>
                <w:szCs w:val="20"/>
                <w:lang w:bidi="ar-SA"/>
              </w:rPr>
              <w:t>1 368 899 303</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lang w:bidi="ar-SA"/>
              </w:rPr>
            </w:pPr>
            <w:r>
              <w:rPr>
                <w:rFonts w:eastAsia="Times New Roman" w:cs="Times New Roman"/>
                <w:b/>
                <w:sz w:val="20"/>
                <w:szCs w:val="20"/>
                <w:lang w:bidi="ar-SA"/>
              </w:rPr>
              <w:t>1 463 861 530</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lang w:bidi="ar-SA"/>
              </w:rPr>
            </w:pPr>
            <w:r>
              <w:rPr>
                <w:rFonts w:eastAsia="Times New Roman" w:cs="Times New Roman"/>
                <w:b/>
                <w:sz w:val="20"/>
                <w:szCs w:val="20"/>
                <w:lang w:bidi="ar-SA"/>
              </w:rPr>
              <w:t>1 362 317 266</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lang w:bidi="ar-SA"/>
              </w:rPr>
            </w:pPr>
            <w:r>
              <w:rPr>
                <w:rFonts w:eastAsia="Times New Roman" w:cs="Times New Roman"/>
                <w:b/>
                <w:sz w:val="20"/>
                <w:szCs w:val="20"/>
                <w:lang w:bidi="ar-SA"/>
              </w:rPr>
              <w:t>1 475 306 193</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lang w:bidi="ar-SA"/>
              </w:rPr>
            </w:pPr>
            <w:r>
              <w:rPr>
                <w:rFonts w:eastAsia="Times New Roman" w:cs="Times New Roman"/>
                <w:b/>
                <w:sz w:val="20"/>
                <w:szCs w:val="20"/>
                <w:lang w:bidi="ar-SA"/>
              </w:rPr>
              <w:t>1 544 676 932</w:t>
            </w:r>
          </w:p>
        </w:tc>
        <w:tc>
          <w:tcPr>
            <w:tcW w:w="170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lang w:bidi="ar-SA"/>
              </w:rPr>
            </w:pPr>
            <w:r>
              <w:rPr>
                <w:rFonts w:eastAsia="Times New Roman" w:cs="Times New Roman"/>
                <w:b/>
                <w:sz w:val="20"/>
                <w:szCs w:val="20"/>
                <w:lang w:bidi="ar-SA"/>
              </w:rPr>
              <w:t>1 600 505 094</w:t>
            </w:r>
          </w:p>
        </w:tc>
      </w:tr>
      <w:tr>
        <w:tblPrEx>
          <w:tblW w:w="14811" w:type="dxa"/>
          <w:tblLayout w:type="fixed"/>
          <w:tblCellMar>
            <w:left w:w="70" w:type="dxa"/>
            <w:right w:w="70" w:type="dxa"/>
          </w:tblCellMar>
          <w:tblLook w:val="04A0"/>
        </w:tblPrEx>
        <w:trPr>
          <w:cantSplit/>
          <w:trHeight w:val="283"/>
        </w:trPr>
        <w:tc>
          <w:tcPr>
            <w:tcW w:w="4599" w:type="dxa"/>
            <w:gridSpan w:val="3"/>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Dochody majątkowe</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129 342 943</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163 190 124</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126 509 652</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58 750 535</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43 833 351</w:t>
            </w:r>
          </w:p>
        </w:tc>
        <w:tc>
          <w:tcPr>
            <w:tcW w:w="170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10 000 000</w:t>
            </w:r>
          </w:p>
        </w:tc>
      </w:tr>
      <w:tr>
        <w:tblPrEx>
          <w:tblW w:w="14811" w:type="dxa"/>
          <w:tblLayout w:type="fixed"/>
          <w:tblCellMar>
            <w:left w:w="70" w:type="dxa"/>
            <w:right w:w="70" w:type="dxa"/>
          </w:tblCellMar>
          <w:tblLook w:val="04A0"/>
        </w:tblPrEx>
        <w:trPr>
          <w:cantSplit/>
          <w:trHeight w:val="283"/>
        </w:trPr>
        <w:tc>
          <w:tcPr>
            <w:tcW w:w="4599" w:type="dxa"/>
            <w:gridSpan w:val="3"/>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Dochody bieżące</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1 239 556 360</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1 300 671 406</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1 235 807 614</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1 416 555 658</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1 500 843 581</w:t>
            </w:r>
          </w:p>
        </w:tc>
        <w:tc>
          <w:tcPr>
            <w:tcW w:w="170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1 590 505 094</w:t>
            </w:r>
          </w:p>
        </w:tc>
      </w:tr>
      <w:tr>
        <w:tblPrEx>
          <w:tblW w:w="14811" w:type="dxa"/>
          <w:tblLayout w:type="fixed"/>
          <w:tblCellMar>
            <w:left w:w="70" w:type="dxa"/>
            <w:right w:w="70" w:type="dxa"/>
          </w:tblCellMar>
          <w:tblLook w:val="04A0"/>
        </w:tblPrEx>
        <w:trPr>
          <w:cantSplit/>
          <w:trHeight w:val="283"/>
        </w:trPr>
        <w:tc>
          <w:tcPr>
            <w:tcW w:w="4599" w:type="dxa"/>
            <w:gridSpan w:val="3"/>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w tym podatek od nieruchomości</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125 499 400</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123 983 878</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129 335 274</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132 697 991</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136 015 441</w:t>
            </w:r>
          </w:p>
        </w:tc>
        <w:tc>
          <w:tcPr>
            <w:tcW w:w="170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139 279 812</w:t>
            </w:r>
          </w:p>
        </w:tc>
      </w:tr>
      <w:tr>
        <w:tblPrEx>
          <w:tblW w:w="14811" w:type="dxa"/>
          <w:tblLayout w:type="fixed"/>
          <w:tblCellMar>
            <w:left w:w="70" w:type="dxa"/>
            <w:right w:w="70" w:type="dxa"/>
          </w:tblCellMar>
          <w:tblLook w:val="04A0"/>
        </w:tblPrEx>
        <w:trPr>
          <w:cantSplit/>
          <w:trHeight w:val="283"/>
        </w:trPr>
        <w:tc>
          <w:tcPr>
            <w:tcW w:w="4599" w:type="dxa"/>
            <w:gridSpan w:val="3"/>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wzrost podatku od nieruchomości</w:t>
            </w:r>
          </w:p>
        </w:tc>
        <w:tc>
          <w:tcPr>
            <w:tcW w:w="1701" w:type="dxa"/>
            <w:shd w:val="clear" w:color="auto"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ascii="Times New Roman" w:eastAsia="Times New Roman" w:hAnsi="Times New Roman" w:cs="Times New Roman"/>
                <w:szCs w:val="20"/>
                <w:lang w:bidi="ar-SA"/>
              </w:rPr>
            </w:pPr>
            <w:r>
              <w:rPr>
                <w:rFonts w:eastAsia="Times New Roman" w:cs="Times New Roman"/>
                <w:sz w:val="20"/>
                <w:szCs w:val="20"/>
                <w:lang w:bidi="ar-SA"/>
              </w:rPr>
              <w:t>–</w:t>
            </w:r>
          </w:p>
        </w:tc>
        <w:tc>
          <w:tcPr>
            <w:tcW w:w="1701" w:type="dxa"/>
            <w:shd w:val="clear" w:color="auto"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ascii="Times New Roman" w:eastAsia="Times New Roman" w:hAnsi="Times New Roman" w:cs="Times New Roman"/>
                <w:szCs w:val="20"/>
                <w:lang w:bidi="ar-SA"/>
              </w:rPr>
            </w:pPr>
            <w:r>
              <w:rPr>
                <w:rFonts w:eastAsia="Times New Roman" w:cs="Times New Roman"/>
                <w:sz w:val="20"/>
                <w:szCs w:val="20"/>
                <w:lang w:bidi="ar-SA"/>
              </w:rPr>
              <w:t>–</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3,1%</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2,6%</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2,5%</w:t>
            </w:r>
          </w:p>
        </w:tc>
        <w:tc>
          <w:tcPr>
            <w:tcW w:w="170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2,4%</w:t>
            </w:r>
          </w:p>
        </w:tc>
      </w:tr>
      <w:tr>
        <w:tblPrEx>
          <w:tblW w:w="14811" w:type="dxa"/>
          <w:tblLayout w:type="fixed"/>
          <w:tblCellMar>
            <w:left w:w="70" w:type="dxa"/>
            <w:right w:w="70" w:type="dxa"/>
          </w:tblCellMar>
          <w:tblLook w:val="04A0"/>
        </w:tblPrEx>
        <w:trPr>
          <w:cantSplit/>
          <w:trHeight w:val="283"/>
        </w:trPr>
        <w:tc>
          <w:tcPr>
            <w:tcW w:w="2532" w:type="dxa"/>
            <w:vMerge w:val="restart"/>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CIT</w:t>
            </w:r>
          </w:p>
        </w:tc>
        <w:tc>
          <w:tcPr>
            <w:tcW w:w="2067" w:type="dxa"/>
            <w:gridSpan w:val="2"/>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ogółem</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13 423 872</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13 423 872</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16 281 582</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17 193 237</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18 147 626</w:t>
            </w:r>
          </w:p>
        </w:tc>
        <w:tc>
          <w:tcPr>
            <w:tcW w:w="170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19 102 014</w:t>
            </w:r>
          </w:p>
        </w:tc>
      </w:tr>
      <w:tr>
        <w:tblPrEx>
          <w:tblW w:w="14811" w:type="dxa"/>
          <w:tblLayout w:type="fixed"/>
          <w:tblCellMar>
            <w:left w:w="70" w:type="dxa"/>
            <w:right w:w="70" w:type="dxa"/>
          </w:tblCellMar>
          <w:tblLook w:val="04A0"/>
        </w:tblPrEx>
        <w:trPr>
          <w:cantSplit/>
          <w:trHeight w:val="283"/>
        </w:trPr>
        <w:tc>
          <w:tcPr>
            <w:tcW w:w="2532" w:type="dxa"/>
            <w:vMerge/>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p>
        </w:tc>
        <w:tc>
          <w:tcPr>
            <w:tcW w:w="2067" w:type="dxa"/>
            <w:gridSpan w:val="2"/>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zmiana – kwota</w:t>
            </w:r>
          </w:p>
        </w:tc>
        <w:tc>
          <w:tcPr>
            <w:tcW w:w="1701" w:type="dxa"/>
            <w:shd w:val="clear" w:color="auto"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ascii="Times New Roman" w:eastAsia="Times New Roman" w:hAnsi="Times New Roman" w:cs="Times New Roman"/>
                <w:szCs w:val="20"/>
                <w:lang w:bidi="ar-SA"/>
              </w:rPr>
            </w:pPr>
            <w:r>
              <w:rPr>
                <w:rFonts w:eastAsia="Times New Roman" w:cs="Times New Roman"/>
                <w:sz w:val="20"/>
                <w:szCs w:val="20"/>
                <w:lang w:bidi="ar-SA"/>
              </w:rPr>
              <w:t>–</w:t>
            </w:r>
          </w:p>
        </w:tc>
        <w:tc>
          <w:tcPr>
            <w:tcW w:w="1701" w:type="dxa"/>
            <w:shd w:val="clear" w:color="auto"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ascii="Times New Roman" w:eastAsia="Times New Roman" w:hAnsi="Times New Roman" w:cs="Times New Roman"/>
                <w:szCs w:val="20"/>
                <w:lang w:bidi="ar-SA"/>
              </w:rPr>
            </w:pPr>
            <w:r>
              <w:rPr>
                <w:rFonts w:eastAsia="Times New Roman" w:cs="Times New Roman"/>
                <w:sz w:val="20"/>
                <w:szCs w:val="20"/>
                <w:lang w:bidi="ar-SA"/>
              </w:rPr>
              <w:t>–</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2 857 710</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911 655</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954 389</w:t>
            </w:r>
          </w:p>
        </w:tc>
        <w:tc>
          <w:tcPr>
            <w:tcW w:w="170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954 388</w:t>
            </w:r>
          </w:p>
        </w:tc>
      </w:tr>
      <w:tr>
        <w:tblPrEx>
          <w:tblW w:w="14811" w:type="dxa"/>
          <w:tblLayout w:type="fixed"/>
          <w:tblCellMar>
            <w:left w:w="70" w:type="dxa"/>
            <w:right w:w="70" w:type="dxa"/>
          </w:tblCellMar>
          <w:tblLook w:val="04A0"/>
        </w:tblPrEx>
        <w:trPr>
          <w:cantSplit/>
          <w:trHeight w:val="283"/>
        </w:trPr>
        <w:tc>
          <w:tcPr>
            <w:tcW w:w="2532" w:type="dxa"/>
            <w:vMerge w:val="restart"/>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PIT</w:t>
            </w:r>
          </w:p>
        </w:tc>
        <w:tc>
          <w:tcPr>
            <w:tcW w:w="2067" w:type="dxa"/>
            <w:gridSpan w:val="2"/>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ogółem</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624 897 335</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624 897 335</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681 104 624</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723 784 810</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767 650 556</w:t>
            </w:r>
          </w:p>
        </w:tc>
        <w:tc>
          <w:tcPr>
            <w:tcW w:w="170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813 294 643</w:t>
            </w:r>
          </w:p>
        </w:tc>
      </w:tr>
      <w:tr>
        <w:tblPrEx>
          <w:tblW w:w="14811" w:type="dxa"/>
          <w:tblLayout w:type="fixed"/>
          <w:tblCellMar>
            <w:left w:w="70" w:type="dxa"/>
            <w:right w:w="70" w:type="dxa"/>
          </w:tblCellMar>
          <w:tblLook w:val="04A0"/>
        </w:tblPrEx>
        <w:trPr>
          <w:cantSplit/>
          <w:trHeight w:val="283"/>
        </w:trPr>
        <w:tc>
          <w:tcPr>
            <w:tcW w:w="2532" w:type="dxa"/>
            <w:vMerge/>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p>
        </w:tc>
        <w:tc>
          <w:tcPr>
            <w:tcW w:w="2067" w:type="dxa"/>
            <w:gridSpan w:val="2"/>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zmiana – kwota</w:t>
            </w:r>
          </w:p>
        </w:tc>
        <w:tc>
          <w:tcPr>
            <w:tcW w:w="1701" w:type="dxa"/>
            <w:shd w:val="clear" w:color="auto"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ascii="Times New Roman" w:eastAsia="Times New Roman" w:hAnsi="Times New Roman" w:cs="Times New Roman"/>
                <w:szCs w:val="20"/>
                <w:lang w:bidi="ar-SA"/>
              </w:rPr>
            </w:pPr>
            <w:r>
              <w:rPr>
                <w:rFonts w:eastAsia="Times New Roman" w:cs="Times New Roman"/>
                <w:sz w:val="20"/>
                <w:szCs w:val="20"/>
                <w:lang w:bidi="ar-SA"/>
              </w:rPr>
              <w:t>–</w:t>
            </w:r>
          </w:p>
        </w:tc>
        <w:tc>
          <w:tcPr>
            <w:tcW w:w="1701" w:type="dxa"/>
            <w:shd w:val="clear" w:color="auto"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ascii="Times New Roman" w:eastAsia="Times New Roman" w:hAnsi="Times New Roman" w:cs="Times New Roman"/>
                <w:szCs w:val="20"/>
                <w:lang w:bidi="ar-SA"/>
              </w:rPr>
            </w:pPr>
            <w:r>
              <w:rPr>
                <w:rFonts w:eastAsia="Times New Roman" w:cs="Times New Roman"/>
                <w:sz w:val="20"/>
                <w:szCs w:val="20"/>
                <w:lang w:bidi="ar-SA"/>
              </w:rPr>
              <w:t>–</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56 207 289</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42 680 186</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43 865 746</w:t>
            </w:r>
          </w:p>
        </w:tc>
        <w:tc>
          <w:tcPr>
            <w:tcW w:w="170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45 644 087</w:t>
            </w:r>
          </w:p>
        </w:tc>
      </w:tr>
      <w:tr>
        <w:tblPrEx>
          <w:tblW w:w="14811" w:type="dxa"/>
          <w:tblLayout w:type="fixed"/>
          <w:tblCellMar>
            <w:left w:w="70" w:type="dxa"/>
            <w:right w:w="70" w:type="dxa"/>
          </w:tblCellMar>
          <w:tblLook w:val="04A0"/>
        </w:tblPrEx>
        <w:trPr>
          <w:cantSplit/>
          <w:trHeight w:val="283"/>
        </w:trPr>
        <w:tc>
          <w:tcPr>
            <w:tcW w:w="2532" w:type="dxa"/>
            <w:vMerge w:val="restart"/>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Subwencja ogólna</w:t>
            </w:r>
          </w:p>
        </w:tc>
        <w:tc>
          <w:tcPr>
            <w:tcW w:w="2067" w:type="dxa"/>
            <w:gridSpan w:val="2"/>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ogółem</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128 296 686</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143 315 250</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66 650 490</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192 231 262</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219 615 391</w:t>
            </w:r>
          </w:p>
        </w:tc>
        <w:tc>
          <w:tcPr>
            <w:tcW w:w="170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250 788 108</w:t>
            </w:r>
          </w:p>
        </w:tc>
      </w:tr>
      <w:tr>
        <w:tblPrEx>
          <w:tblW w:w="14811" w:type="dxa"/>
          <w:tblLayout w:type="fixed"/>
          <w:tblCellMar>
            <w:left w:w="70" w:type="dxa"/>
            <w:right w:w="70" w:type="dxa"/>
          </w:tblCellMar>
          <w:tblLook w:val="04A0"/>
        </w:tblPrEx>
        <w:trPr>
          <w:cantSplit/>
          <w:trHeight w:val="283"/>
        </w:trPr>
        <w:tc>
          <w:tcPr>
            <w:tcW w:w="2532" w:type="dxa"/>
            <w:vMerge/>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p>
        </w:tc>
        <w:tc>
          <w:tcPr>
            <w:tcW w:w="2067" w:type="dxa"/>
            <w:gridSpan w:val="2"/>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zmiana – kwota</w:t>
            </w:r>
          </w:p>
        </w:tc>
        <w:tc>
          <w:tcPr>
            <w:tcW w:w="1701" w:type="dxa"/>
            <w:shd w:val="clear" w:color="auto"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ascii="Times New Roman" w:eastAsia="Times New Roman" w:hAnsi="Times New Roman" w:cs="Times New Roman"/>
                <w:szCs w:val="20"/>
                <w:lang w:bidi="ar-SA"/>
              </w:rPr>
            </w:pPr>
            <w:r>
              <w:rPr>
                <w:rFonts w:eastAsia="Times New Roman" w:cs="Times New Roman"/>
                <w:sz w:val="20"/>
                <w:szCs w:val="20"/>
                <w:lang w:bidi="ar-SA"/>
              </w:rPr>
              <w:t>–</w:t>
            </w:r>
          </w:p>
        </w:tc>
        <w:tc>
          <w:tcPr>
            <w:tcW w:w="1701" w:type="dxa"/>
            <w:shd w:val="clear" w:color="auto"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ascii="Times New Roman" w:eastAsia="Times New Roman" w:hAnsi="Times New Roman" w:cs="Times New Roman"/>
                <w:szCs w:val="20"/>
                <w:lang w:bidi="ar-SA"/>
              </w:rPr>
            </w:pPr>
            <w:r>
              <w:rPr>
                <w:rFonts w:eastAsia="Times New Roman" w:cs="Times New Roman"/>
                <w:sz w:val="20"/>
                <w:szCs w:val="20"/>
                <w:lang w:bidi="ar-SA"/>
              </w:rPr>
              <w:t>–</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-61 646 196</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125 580 772</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27 384 129</w:t>
            </w:r>
          </w:p>
        </w:tc>
        <w:tc>
          <w:tcPr>
            <w:tcW w:w="170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31 172 717</w:t>
            </w:r>
          </w:p>
        </w:tc>
      </w:tr>
      <w:tr>
        <w:tblPrEx>
          <w:tblW w:w="14811" w:type="dxa"/>
          <w:tblLayout w:type="fixed"/>
          <w:tblCellMar>
            <w:left w:w="70" w:type="dxa"/>
            <w:right w:w="70" w:type="dxa"/>
          </w:tblCellMar>
          <w:tblLook w:val="04A0"/>
        </w:tblPrEx>
        <w:trPr>
          <w:cantSplit/>
          <w:trHeight w:val="283"/>
        </w:trPr>
        <w:tc>
          <w:tcPr>
            <w:tcW w:w="4599" w:type="dxa"/>
            <w:gridSpan w:val="3"/>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CPI – wytyczne MF</w:t>
            </w:r>
          </w:p>
        </w:tc>
        <w:tc>
          <w:tcPr>
            <w:tcW w:w="1701" w:type="dxa"/>
            <w:shd w:val="clear" w:color="auto"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ascii="Times New Roman" w:eastAsia="Times New Roman" w:hAnsi="Times New Roman" w:cs="Times New Roman"/>
                <w:szCs w:val="20"/>
                <w:lang w:bidi="ar-SA"/>
              </w:rPr>
            </w:pPr>
            <w:r>
              <w:rPr>
                <w:rFonts w:eastAsia="Times New Roman" w:cs="Times New Roman"/>
                <w:sz w:val="20"/>
                <w:szCs w:val="20"/>
                <w:lang w:bidi="ar-SA"/>
              </w:rPr>
              <w:t>–</w:t>
            </w:r>
          </w:p>
        </w:tc>
        <w:tc>
          <w:tcPr>
            <w:tcW w:w="1701" w:type="dxa"/>
            <w:shd w:val="clear" w:color="auto"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ascii="Times New Roman" w:eastAsia="Times New Roman" w:hAnsi="Times New Roman" w:cs="Times New Roman"/>
                <w:szCs w:val="20"/>
                <w:lang w:bidi="ar-SA"/>
              </w:rPr>
            </w:pPr>
            <w:r>
              <w:rPr>
                <w:rFonts w:eastAsia="Times New Roman" w:cs="Times New Roman"/>
                <w:sz w:val="20"/>
                <w:szCs w:val="20"/>
                <w:lang w:bidi="ar-SA"/>
              </w:rPr>
              <w:t>–</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3,0%</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2,6%</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2,5%</w:t>
            </w:r>
          </w:p>
        </w:tc>
        <w:tc>
          <w:tcPr>
            <w:tcW w:w="170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2,4%</w:t>
            </w:r>
          </w:p>
        </w:tc>
      </w:tr>
      <w:tr>
        <w:tblPrEx>
          <w:tblW w:w="14811" w:type="dxa"/>
          <w:tblLayout w:type="fixed"/>
          <w:tblCellMar>
            <w:left w:w="70" w:type="dxa"/>
            <w:right w:w="70" w:type="dxa"/>
          </w:tblCellMar>
          <w:tblLook w:val="04A0"/>
        </w:tblPrEx>
        <w:trPr>
          <w:cantSplit/>
          <w:trHeight w:val="283"/>
        </w:trPr>
        <w:tc>
          <w:tcPr>
            <w:tcW w:w="4599" w:type="dxa"/>
            <w:gridSpan w:val="3"/>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Pozostałe dochody bieżące</w:t>
            </w:r>
          </w:p>
        </w:tc>
        <w:tc>
          <w:tcPr>
            <w:tcW w:w="1701" w:type="dxa"/>
            <w:shd w:val="clear" w:color="auto"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ascii="Times New Roman" w:eastAsia="Times New Roman" w:hAnsi="Times New Roman" w:cs="Times New Roman"/>
                <w:szCs w:val="20"/>
                <w:lang w:bidi="ar-SA"/>
              </w:rPr>
            </w:pPr>
            <w:r>
              <w:rPr>
                <w:rFonts w:eastAsia="Times New Roman" w:cs="Times New Roman"/>
                <w:sz w:val="20"/>
                <w:szCs w:val="20"/>
                <w:lang w:bidi="ar-SA"/>
              </w:rPr>
              <w:t>–</w:t>
            </w:r>
          </w:p>
        </w:tc>
        <w:tc>
          <w:tcPr>
            <w:tcW w:w="1701" w:type="dxa"/>
            <w:tcBorders>
              <w:bottom w:val="single" w:sz="4" w:space="0" w:color="auto"/>
            </w:tcBorders>
            <w:shd w:val="clear" w:color="auto"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ascii="Times New Roman" w:eastAsia="Times New Roman" w:hAnsi="Times New Roman" w:cs="Times New Roman"/>
                <w:szCs w:val="20"/>
                <w:lang w:bidi="ar-SA"/>
              </w:rPr>
            </w:pPr>
            <w:r>
              <w:rPr>
                <w:rFonts w:eastAsia="Times New Roman" w:cs="Times New Roman"/>
                <w:sz w:val="20"/>
                <w:szCs w:val="20"/>
                <w:lang w:bidi="ar-SA"/>
              </w:rPr>
              <w:t>–</w:t>
            </w:r>
          </w:p>
        </w:tc>
        <w:tc>
          <w:tcPr>
            <w:tcW w:w="1701" w:type="dxa"/>
            <w:tcBorders>
              <w:bottom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rPr>
              <w:t>342 435 644</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350 648 358</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359 414 567</w:t>
            </w:r>
          </w:p>
        </w:tc>
        <w:tc>
          <w:tcPr>
            <w:tcW w:w="170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368 040 517</w:t>
            </w:r>
          </w:p>
        </w:tc>
      </w:tr>
      <w:tr>
        <w:tblPrEx>
          <w:tblW w:w="14811" w:type="dxa"/>
          <w:tblLayout w:type="fixed"/>
          <w:tblCellMar>
            <w:left w:w="70" w:type="dxa"/>
            <w:right w:w="70" w:type="dxa"/>
          </w:tblCellMar>
          <w:tblLook w:val="04A0"/>
        </w:tblPrEx>
        <w:trPr>
          <w:cantSplit/>
          <w:trHeight w:val="283"/>
        </w:trPr>
        <w:tc>
          <w:tcPr>
            <w:tcW w:w="4599" w:type="dxa"/>
            <w:gridSpan w:val="3"/>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Wzrost pozostałych dochodów bieżących</w:t>
            </w:r>
          </w:p>
        </w:tc>
        <w:tc>
          <w:tcPr>
            <w:tcW w:w="1701" w:type="dxa"/>
            <w:shd w:val="clear" w:color="auto"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ascii="Times New Roman" w:eastAsia="Times New Roman" w:hAnsi="Times New Roman" w:cs="Times New Roman"/>
                <w:szCs w:val="20"/>
                <w:lang w:bidi="ar-SA"/>
              </w:rPr>
            </w:pPr>
            <w:r>
              <w:rPr>
                <w:rFonts w:eastAsia="Times New Roman" w:cs="Times New Roman"/>
                <w:sz w:val="20"/>
                <w:szCs w:val="20"/>
                <w:lang w:bidi="ar-SA"/>
              </w:rPr>
              <w:t>–</w:t>
            </w:r>
          </w:p>
        </w:tc>
        <w:tc>
          <w:tcPr>
            <w:tcW w:w="1701" w:type="dxa"/>
            <w:shd w:val="clear" w:color="auto"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ascii="Times New Roman" w:eastAsia="Times New Roman" w:hAnsi="Times New Roman" w:cs="Times New Roman"/>
                <w:szCs w:val="20"/>
                <w:lang w:bidi="ar-SA"/>
              </w:rPr>
            </w:pPr>
            <w:r>
              <w:rPr>
                <w:rFonts w:eastAsia="Times New Roman" w:cs="Times New Roman"/>
                <w:sz w:val="20"/>
                <w:szCs w:val="20"/>
                <w:lang w:bidi="ar-SA"/>
              </w:rPr>
              <w:t>–</w:t>
            </w:r>
          </w:p>
        </w:tc>
        <w:tc>
          <w:tcPr>
            <w:tcW w:w="1701" w:type="dxa"/>
            <w:shd w:val="clear" w:color="auto"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ascii="Times New Roman" w:eastAsia="Times New Roman" w:hAnsi="Times New Roman" w:cs="Times New Roman"/>
                <w:szCs w:val="20"/>
                <w:lang w:bidi="ar-SA"/>
              </w:rPr>
            </w:pPr>
            <w:r>
              <w:rPr>
                <w:rFonts w:eastAsia="Times New Roman" w:cs="Times New Roman"/>
                <w:sz w:val="20"/>
                <w:szCs w:val="20"/>
                <w:lang w:bidi="ar-SA"/>
              </w:rPr>
              <w:t>–</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8 885 826</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8 766 209</w:t>
            </w:r>
          </w:p>
        </w:tc>
        <w:tc>
          <w:tcPr>
            <w:tcW w:w="170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8 625 950</w:t>
            </w:r>
          </w:p>
        </w:tc>
      </w:tr>
      <w:tr>
        <w:tblPrEx>
          <w:tblW w:w="14811" w:type="dxa"/>
          <w:tblLayout w:type="fixed"/>
          <w:tblCellMar>
            <w:left w:w="70" w:type="dxa"/>
            <w:right w:w="70" w:type="dxa"/>
          </w:tblCellMar>
          <w:tblLook w:val="04A0"/>
        </w:tblPrEx>
        <w:trPr>
          <w:cantSplit/>
          <w:trHeight w:val="283"/>
        </w:trPr>
        <w:tc>
          <w:tcPr>
            <w:tcW w:w="3756" w:type="dxa"/>
            <w:gridSpan w:val="2"/>
            <w:vMerge w:val="restart"/>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zmiana dochodów bieżących względem planu na 30.09.2025</w:t>
            </w:r>
          </w:p>
        </w:tc>
        <w:tc>
          <w:tcPr>
            <w:tcW w:w="843" w:type="dxa"/>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w:t>
            </w:r>
          </w:p>
        </w:tc>
        <w:tc>
          <w:tcPr>
            <w:tcW w:w="1701" w:type="dxa"/>
            <w:shd w:val="clear" w:color="auto"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ascii="Times New Roman" w:eastAsia="Times New Roman" w:hAnsi="Times New Roman" w:cs="Times New Roman"/>
                <w:szCs w:val="20"/>
                <w:lang w:bidi="ar-SA"/>
              </w:rPr>
            </w:pPr>
            <w:r>
              <w:rPr>
                <w:rFonts w:eastAsia="Times New Roman" w:cs="Times New Roman"/>
                <w:sz w:val="20"/>
                <w:szCs w:val="20"/>
                <w:lang w:bidi="ar-SA"/>
              </w:rPr>
              <w:t>–</w:t>
            </w:r>
          </w:p>
        </w:tc>
        <w:tc>
          <w:tcPr>
            <w:tcW w:w="1701" w:type="dxa"/>
            <w:shd w:val="clear" w:color="auto"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ascii="Times New Roman" w:eastAsia="Times New Roman" w:hAnsi="Times New Roman" w:cs="Times New Roman"/>
                <w:szCs w:val="20"/>
                <w:lang w:bidi="ar-SA"/>
              </w:rPr>
            </w:pPr>
            <w:r>
              <w:rPr>
                <w:rFonts w:eastAsia="Times New Roman" w:cs="Times New Roman"/>
                <w:sz w:val="20"/>
                <w:szCs w:val="20"/>
                <w:lang w:bidi="ar-SA"/>
              </w:rPr>
              <w:t>–</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w:t>
            </w:r>
            <w:r>
              <w:rPr>
                <w:rFonts w:eastAsia="Times New Roman" w:cs="Times New Roman"/>
                <w:sz w:val="20"/>
                <w:szCs w:val="20"/>
              </w:rPr>
              <w:t>4,99</w:t>
            </w:r>
            <w:r>
              <w:rPr>
                <w:rFonts w:eastAsia="Times New Roman" w:cs="Times New Roman"/>
                <w:sz w:val="20"/>
                <w:szCs w:val="20"/>
                <w:lang w:bidi="ar-SA"/>
              </w:rPr>
              <w:t>%</w:t>
            </w:r>
          </w:p>
        </w:tc>
        <w:tc>
          <w:tcPr>
            <w:tcW w:w="1701" w:type="dxa"/>
            <w:shd w:val="clear" w:color="auto"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ascii="Times New Roman" w:eastAsia="Times New Roman" w:hAnsi="Times New Roman" w:cs="Times New Roman"/>
                <w:szCs w:val="20"/>
                <w:lang w:bidi="ar-SA"/>
              </w:rPr>
            </w:pPr>
            <w:r>
              <w:rPr>
                <w:rFonts w:eastAsia="Times New Roman" w:cs="Times New Roman"/>
                <w:sz w:val="20"/>
                <w:szCs w:val="20"/>
                <w:lang w:bidi="ar-SA"/>
              </w:rPr>
              <w:t>–</w:t>
            </w:r>
          </w:p>
        </w:tc>
        <w:tc>
          <w:tcPr>
            <w:tcW w:w="1701" w:type="dxa"/>
            <w:shd w:val="clear" w:color="auto"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ascii="Times New Roman" w:eastAsia="Times New Roman" w:hAnsi="Times New Roman" w:cs="Times New Roman"/>
                <w:szCs w:val="20"/>
                <w:lang w:bidi="ar-SA"/>
              </w:rPr>
            </w:pPr>
            <w:r>
              <w:rPr>
                <w:rFonts w:eastAsia="Times New Roman" w:cs="Times New Roman"/>
                <w:sz w:val="20"/>
                <w:szCs w:val="20"/>
                <w:lang w:bidi="ar-SA"/>
              </w:rPr>
              <w:t>–</w:t>
            </w:r>
          </w:p>
        </w:tc>
        <w:tc>
          <w:tcPr>
            <w:tcW w:w="1707" w:type="dxa"/>
            <w:shd w:val="clear" w:color="auto"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ascii="Times New Roman" w:eastAsia="Times New Roman" w:hAnsi="Times New Roman" w:cs="Times New Roman"/>
                <w:szCs w:val="20"/>
                <w:lang w:bidi="ar-SA"/>
              </w:rPr>
            </w:pPr>
            <w:r>
              <w:rPr>
                <w:rFonts w:eastAsia="Times New Roman" w:cs="Times New Roman"/>
                <w:sz w:val="20"/>
                <w:szCs w:val="20"/>
                <w:lang w:bidi="ar-SA"/>
              </w:rPr>
              <w:t>–</w:t>
            </w:r>
          </w:p>
        </w:tc>
      </w:tr>
      <w:tr>
        <w:tblPrEx>
          <w:tblW w:w="14811" w:type="dxa"/>
          <w:tblLayout w:type="fixed"/>
          <w:tblCellMar>
            <w:left w:w="70" w:type="dxa"/>
            <w:right w:w="70" w:type="dxa"/>
          </w:tblCellMar>
          <w:tblLook w:val="04A0"/>
        </w:tblPrEx>
        <w:trPr>
          <w:cantSplit/>
          <w:trHeight w:val="283"/>
        </w:trPr>
        <w:tc>
          <w:tcPr>
            <w:tcW w:w="3756" w:type="dxa"/>
            <w:gridSpan w:val="2"/>
            <w:vMerge/>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p>
        </w:tc>
        <w:tc>
          <w:tcPr>
            <w:tcW w:w="843" w:type="dxa"/>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kwota</w:t>
            </w:r>
          </w:p>
        </w:tc>
        <w:tc>
          <w:tcPr>
            <w:tcW w:w="1701" w:type="dxa"/>
            <w:shd w:val="clear" w:color="auto"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ascii="Times New Roman" w:eastAsia="Times New Roman" w:hAnsi="Times New Roman" w:cs="Times New Roman"/>
                <w:szCs w:val="20"/>
                <w:lang w:bidi="ar-SA"/>
              </w:rPr>
            </w:pPr>
            <w:r>
              <w:rPr>
                <w:rFonts w:eastAsia="Times New Roman" w:cs="Times New Roman"/>
                <w:sz w:val="20"/>
                <w:szCs w:val="20"/>
                <w:lang w:bidi="ar-SA"/>
              </w:rPr>
              <w:t>–</w:t>
            </w:r>
          </w:p>
        </w:tc>
        <w:tc>
          <w:tcPr>
            <w:tcW w:w="1701" w:type="dxa"/>
            <w:shd w:val="clear" w:color="auto"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ascii="Times New Roman" w:eastAsia="Times New Roman" w:hAnsi="Times New Roman" w:cs="Times New Roman"/>
                <w:szCs w:val="20"/>
                <w:lang w:bidi="ar-SA"/>
              </w:rPr>
            </w:pPr>
            <w:r>
              <w:rPr>
                <w:rFonts w:eastAsia="Times New Roman" w:cs="Times New Roman"/>
                <w:sz w:val="20"/>
                <w:szCs w:val="20"/>
                <w:lang w:bidi="ar-SA"/>
              </w:rPr>
              <w:t>–</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-6</w:t>
            </w:r>
            <w:r>
              <w:rPr>
                <w:rFonts w:eastAsia="Times New Roman" w:cs="Times New Roman"/>
                <w:sz w:val="20"/>
                <w:szCs w:val="20"/>
              </w:rPr>
              <w:t>4 863 792</w:t>
            </w:r>
          </w:p>
        </w:tc>
        <w:tc>
          <w:tcPr>
            <w:tcW w:w="1701" w:type="dxa"/>
            <w:shd w:val="clear" w:color="auto"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ascii="Times New Roman" w:eastAsia="Times New Roman" w:hAnsi="Times New Roman" w:cs="Times New Roman"/>
                <w:szCs w:val="20"/>
                <w:lang w:bidi="ar-SA"/>
              </w:rPr>
            </w:pPr>
            <w:r>
              <w:rPr>
                <w:rFonts w:eastAsia="Times New Roman" w:cs="Times New Roman"/>
                <w:sz w:val="20"/>
                <w:szCs w:val="20"/>
                <w:lang w:bidi="ar-SA"/>
              </w:rPr>
              <w:t>–</w:t>
            </w:r>
          </w:p>
        </w:tc>
        <w:tc>
          <w:tcPr>
            <w:tcW w:w="1701" w:type="dxa"/>
            <w:shd w:val="clear" w:color="auto"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ascii="Times New Roman" w:eastAsia="Times New Roman" w:hAnsi="Times New Roman" w:cs="Times New Roman"/>
                <w:szCs w:val="20"/>
                <w:lang w:bidi="ar-SA"/>
              </w:rPr>
            </w:pPr>
            <w:r>
              <w:rPr>
                <w:rFonts w:eastAsia="Times New Roman" w:cs="Times New Roman"/>
                <w:sz w:val="20"/>
                <w:szCs w:val="20"/>
                <w:lang w:bidi="ar-SA"/>
              </w:rPr>
              <w:t>–</w:t>
            </w:r>
          </w:p>
        </w:tc>
        <w:tc>
          <w:tcPr>
            <w:tcW w:w="1707" w:type="dxa"/>
            <w:shd w:val="clear" w:color="auto"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ascii="Times New Roman" w:eastAsia="Times New Roman" w:hAnsi="Times New Roman" w:cs="Times New Roman"/>
                <w:szCs w:val="20"/>
                <w:lang w:bidi="ar-SA"/>
              </w:rPr>
            </w:pPr>
            <w:r>
              <w:rPr>
                <w:rFonts w:eastAsia="Times New Roman" w:cs="Times New Roman"/>
                <w:sz w:val="20"/>
                <w:szCs w:val="20"/>
                <w:lang w:bidi="ar-SA"/>
              </w:rPr>
              <w:t>–</w:t>
            </w:r>
          </w:p>
        </w:tc>
      </w:tr>
      <w:tr>
        <w:tblPrEx>
          <w:tblW w:w="14811" w:type="dxa"/>
          <w:tblLayout w:type="fixed"/>
          <w:tblCellMar>
            <w:left w:w="70" w:type="dxa"/>
            <w:right w:w="70" w:type="dxa"/>
          </w:tblCellMar>
          <w:tblLook w:val="04A0"/>
        </w:tblPrEx>
        <w:trPr>
          <w:cantSplit/>
          <w:trHeight w:val="283"/>
        </w:trPr>
        <w:tc>
          <w:tcPr>
            <w:tcW w:w="3756" w:type="dxa"/>
            <w:gridSpan w:val="2"/>
            <w:vMerge w:val="restart"/>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zmiana dochodów bieżących względem planu pierwotnego na 01.01.2025</w:t>
            </w:r>
          </w:p>
        </w:tc>
        <w:tc>
          <w:tcPr>
            <w:tcW w:w="843" w:type="dxa"/>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w:t>
            </w:r>
          </w:p>
        </w:tc>
        <w:tc>
          <w:tcPr>
            <w:tcW w:w="1701" w:type="dxa"/>
            <w:shd w:val="clear" w:color="auto"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ascii="Times New Roman" w:eastAsia="Times New Roman" w:hAnsi="Times New Roman" w:cs="Times New Roman"/>
                <w:szCs w:val="20"/>
                <w:lang w:bidi="ar-SA"/>
              </w:rPr>
            </w:pPr>
            <w:r>
              <w:rPr>
                <w:rFonts w:eastAsia="Times New Roman" w:cs="Times New Roman"/>
                <w:sz w:val="20"/>
                <w:szCs w:val="20"/>
                <w:lang w:bidi="ar-SA"/>
              </w:rPr>
              <w:t>–</w:t>
            </w:r>
          </w:p>
        </w:tc>
        <w:tc>
          <w:tcPr>
            <w:tcW w:w="1701" w:type="dxa"/>
            <w:shd w:val="clear" w:color="auto"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ascii="Times New Roman" w:eastAsia="Times New Roman" w:hAnsi="Times New Roman" w:cs="Times New Roman"/>
                <w:szCs w:val="20"/>
                <w:lang w:bidi="ar-SA"/>
              </w:rPr>
            </w:pPr>
            <w:r>
              <w:rPr>
                <w:rFonts w:eastAsia="Times New Roman" w:cs="Times New Roman"/>
                <w:sz w:val="20"/>
                <w:szCs w:val="20"/>
                <w:lang w:bidi="ar-SA"/>
              </w:rPr>
              <w:t>–</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-0,3</w:t>
            </w:r>
            <w:r>
              <w:rPr>
                <w:rFonts w:eastAsia="Times New Roman" w:cs="Times New Roman"/>
                <w:sz w:val="20"/>
                <w:szCs w:val="20"/>
              </w:rPr>
              <w:t>0</w:t>
            </w:r>
            <w:r>
              <w:rPr>
                <w:rFonts w:eastAsia="Times New Roman" w:cs="Times New Roman"/>
                <w:sz w:val="20"/>
                <w:szCs w:val="20"/>
                <w:lang w:bidi="ar-SA"/>
              </w:rPr>
              <w:t>%</w:t>
            </w:r>
          </w:p>
        </w:tc>
        <w:tc>
          <w:tcPr>
            <w:tcW w:w="1701" w:type="dxa"/>
            <w:shd w:val="clear" w:color="auto"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ascii="Times New Roman" w:eastAsia="Times New Roman" w:hAnsi="Times New Roman" w:cs="Times New Roman"/>
                <w:szCs w:val="20"/>
                <w:lang w:bidi="ar-SA"/>
              </w:rPr>
            </w:pPr>
            <w:r>
              <w:rPr>
                <w:rFonts w:eastAsia="Times New Roman" w:cs="Times New Roman"/>
                <w:sz w:val="20"/>
                <w:szCs w:val="20"/>
                <w:lang w:bidi="ar-SA"/>
              </w:rPr>
              <w:t>–</w:t>
            </w:r>
          </w:p>
        </w:tc>
        <w:tc>
          <w:tcPr>
            <w:tcW w:w="1701" w:type="dxa"/>
            <w:shd w:val="clear" w:color="auto"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ascii="Times New Roman" w:eastAsia="Times New Roman" w:hAnsi="Times New Roman" w:cs="Times New Roman"/>
                <w:szCs w:val="20"/>
                <w:lang w:bidi="ar-SA"/>
              </w:rPr>
            </w:pPr>
            <w:r>
              <w:rPr>
                <w:rFonts w:eastAsia="Times New Roman" w:cs="Times New Roman"/>
                <w:sz w:val="20"/>
                <w:szCs w:val="20"/>
                <w:lang w:bidi="ar-SA"/>
              </w:rPr>
              <w:t>–</w:t>
            </w:r>
          </w:p>
        </w:tc>
        <w:tc>
          <w:tcPr>
            <w:tcW w:w="1707" w:type="dxa"/>
            <w:shd w:val="clear" w:color="auto"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ascii="Times New Roman" w:eastAsia="Times New Roman" w:hAnsi="Times New Roman" w:cs="Times New Roman"/>
                <w:szCs w:val="20"/>
                <w:lang w:bidi="ar-SA"/>
              </w:rPr>
            </w:pPr>
            <w:r>
              <w:rPr>
                <w:rFonts w:eastAsia="Times New Roman" w:cs="Times New Roman"/>
                <w:sz w:val="20"/>
                <w:szCs w:val="20"/>
                <w:lang w:bidi="ar-SA"/>
              </w:rPr>
              <w:t>–</w:t>
            </w:r>
          </w:p>
        </w:tc>
      </w:tr>
      <w:tr>
        <w:tblPrEx>
          <w:tblW w:w="14811" w:type="dxa"/>
          <w:tblLayout w:type="fixed"/>
          <w:tblCellMar>
            <w:left w:w="70" w:type="dxa"/>
            <w:right w:w="70" w:type="dxa"/>
          </w:tblCellMar>
          <w:tblLook w:val="04A0"/>
        </w:tblPrEx>
        <w:trPr>
          <w:cantSplit/>
          <w:trHeight w:val="283"/>
        </w:trPr>
        <w:tc>
          <w:tcPr>
            <w:tcW w:w="3756" w:type="dxa"/>
            <w:gridSpan w:val="2"/>
            <w:vMerge/>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p>
        </w:tc>
        <w:tc>
          <w:tcPr>
            <w:tcW w:w="843" w:type="dxa"/>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kwota</w:t>
            </w:r>
          </w:p>
        </w:tc>
        <w:tc>
          <w:tcPr>
            <w:tcW w:w="1701" w:type="dxa"/>
            <w:shd w:val="clear" w:color="auto"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ascii="Times New Roman" w:eastAsia="Times New Roman" w:hAnsi="Times New Roman" w:cs="Times New Roman"/>
                <w:szCs w:val="20"/>
                <w:lang w:bidi="ar-SA"/>
              </w:rPr>
            </w:pPr>
            <w:r>
              <w:rPr>
                <w:rFonts w:eastAsia="Times New Roman" w:cs="Times New Roman"/>
                <w:sz w:val="20"/>
                <w:szCs w:val="20"/>
                <w:lang w:bidi="ar-SA"/>
              </w:rPr>
              <w:t>–</w:t>
            </w:r>
          </w:p>
        </w:tc>
        <w:tc>
          <w:tcPr>
            <w:tcW w:w="1701" w:type="dxa"/>
            <w:shd w:val="clear" w:color="auto"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ascii="Times New Roman" w:eastAsia="Times New Roman" w:hAnsi="Times New Roman" w:cs="Times New Roman"/>
                <w:szCs w:val="20"/>
                <w:lang w:bidi="ar-SA"/>
              </w:rPr>
            </w:pPr>
            <w:r>
              <w:rPr>
                <w:rFonts w:eastAsia="Times New Roman" w:cs="Times New Roman"/>
                <w:sz w:val="20"/>
                <w:szCs w:val="20"/>
                <w:lang w:bidi="ar-SA"/>
              </w:rPr>
              <w:t>–</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w:t>
            </w:r>
            <w:r>
              <w:rPr>
                <w:rFonts w:eastAsia="Times New Roman" w:cs="Times New Roman"/>
                <w:sz w:val="20"/>
                <w:szCs w:val="20"/>
              </w:rPr>
              <w:t>3 748 746</w:t>
            </w:r>
          </w:p>
        </w:tc>
        <w:tc>
          <w:tcPr>
            <w:tcW w:w="1701" w:type="dxa"/>
            <w:shd w:val="clear" w:color="auto"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ascii="Times New Roman" w:eastAsia="Times New Roman" w:hAnsi="Times New Roman" w:cs="Times New Roman"/>
                <w:szCs w:val="20"/>
                <w:lang w:bidi="ar-SA"/>
              </w:rPr>
            </w:pPr>
            <w:r>
              <w:rPr>
                <w:rFonts w:eastAsia="Times New Roman" w:cs="Times New Roman"/>
                <w:sz w:val="20"/>
                <w:szCs w:val="20"/>
                <w:lang w:bidi="ar-SA"/>
              </w:rPr>
              <w:t>–</w:t>
            </w:r>
          </w:p>
        </w:tc>
        <w:tc>
          <w:tcPr>
            <w:tcW w:w="1701" w:type="dxa"/>
            <w:shd w:val="clear" w:color="auto"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ascii="Times New Roman" w:eastAsia="Times New Roman" w:hAnsi="Times New Roman" w:cs="Times New Roman"/>
                <w:szCs w:val="20"/>
                <w:lang w:bidi="ar-SA"/>
              </w:rPr>
            </w:pPr>
            <w:r>
              <w:rPr>
                <w:rFonts w:eastAsia="Times New Roman" w:cs="Times New Roman"/>
                <w:sz w:val="20"/>
                <w:szCs w:val="20"/>
                <w:lang w:bidi="ar-SA"/>
              </w:rPr>
              <w:t>–</w:t>
            </w:r>
          </w:p>
        </w:tc>
        <w:tc>
          <w:tcPr>
            <w:tcW w:w="1707" w:type="dxa"/>
            <w:shd w:val="clear" w:color="auto"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ascii="Times New Roman" w:eastAsia="Times New Roman" w:hAnsi="Times New Roman" w:cs="Times New Roman"/>
                <w:szCs w:val="20"/>
                <w:lang w:bidi="ar-SA"/>
              </w:rPr>
            </w:pPr>
            <w:r>
              <w:rPr>
                <w:rFonts w:eastAsia="Times New Roman" w:cs="Times New Roman"/>
                <w:sz w:val="20"/>
                <w:szCs w:val="20"/>
                <w:lang w:bidi="ar-SA"/>
              </w:rPr>
              <w:t>–</w:t>
            </w:r>
          </w:p>
        </w:tc>
      </w:tr>
    </w:tbl>
    <w:p>
      <w:pPr>
        <w:keepNext w:val="0"/>
        <w:keepLines w:val="0"/>
        <w:widowControl/>
        <w:suppressLineNumbers w:val="0"/>
        <w:shd w:val="clear" w:color="auto" w:fill="auto"/>
        <w:suppressAutoHyphens w:val="0"/>
        <w:spacing w:before="24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W pozycji dochody ogółem wskazano prognozowane łączne dochody ze wszystkich źródeł, które miasto może pozyskać w kolejnych latach budżetowych. Kwotę prognozowanych dochodów oparto na informacji MF w zakresie kalkulacji dochodów na rok 2026.</w:t>
      </w:r>
    </w:p>
    <w:p>
      <w:pPr>
        <w:keepNext w:val="0"/>
        <w:keepLines w:val="0"/>
        <w:widowControl/>
        <w:suppressLineNumbers w:val="0"/>
        <w:shd w:val="clear" w:color="auto" w:fill="auto"/>
        <w:suppressAutoHyphens w:val="0"/>
        <w:spacing w:before="0" w:beforeAutospacing="0" w:after="12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Na lata 2027-2029 dokonano szczegółowych wyliczeń na podstawie przepisów ww. ustawy dotyczących:</w:t>
      </w:r>
    </w:p>
    <w:p>
      <w:pPr>
        <w:keepNext w:val="0"/>
        <w:keepLines w:val="0"/>
        <w:widowControl/>
        <w:numPr>
          <w:ilvl w:val="0"/>
          <w:numId w:val="1"/>
        </w:numPr>
        <w:suppressLineNumbers w:val="0"/>
        <w:shd w:val="clear" w:color="auto" w:fill="auto"/>
        <w:suppressAutoHyphens w:val="0"/>
        <w:spacing w:before="0" w:beforeAutospacing="0" w:after="0" w:afterAutospacing="0" w:line="240" w:lineRule="auto"/>
        <w:ind w:left="680" w:right="0" w:hanging="340"/>
        <w:contextualSpacing w:val="0"/>
        <w:jc w:val="both"/>
        <w:rPr>
          <w:rFonts w:eastAsia="Times New Roman" w:cs="Times New Roman"/>
          <w:szCs w:val="20"/>
          <w:lang w:bidi="ar-SA"/>
        </w:rPr>
      </w:pPr>
      <w:r>
        <w:rPr>
          <w:rFonts w:eastAsia="Times New Roman" w:cs="Times New Roman"/>
          <w:szCs w:val="20"/>
          <w:lang w:bidi="ar-SA"/>
        </w:rPr>
        <w:t>udziałów w podatku dochodowym od osób fizycznych i prawnych,</w:t>
      </w:r>
    </w:p>
    <w:p>
      <w:pPr>
        <w:keepNext w:val="0"/>
        <w:keepLines w:val="0"/>
        <w:widowControl/>
        <w:numPr>
          <w:ilvl w:val="0"/>
          <w:numId w:val="1"/>
        </w:numPr>
        <w:suppressLineNumbers w:val="0"/>
        <w:shd w:val="clear" w:color="auto" w:fill="auto"/>
        <w:suppressAutoHyphens w:val="0"/>
        <w:spacing w:before="0" w:beforeAutospacing="0" w:after="0" w:afterAutospacing="0" w:line="240" w:lineRule="auto"/>
        <w:ind w:left="680" w:right="0" w:hanging="340"/>
        <w:contextualSpacing w:val="0"/>
        <w:jc w:val="both"/>
        <w:rPr>
          <w:rFonts w:eastAsia="Times New Roman" w:cs="Times New Roman"/>
          <w:szCs w:val="20"/>
          <w:lang w:bidi="ar-SA"/>
        </w:rPr>
      </w:pPr>
      <w:r>
        <w:rPr>
          <w:rFonts w:eastAsia="Times New Roman" w:cs="Times New Roman"/>
          <w:szCs w:val="20"/>
          <w:lang w:bidi="ar-SA"/>
        </w:rPr>
        <w:t>subwencji ogólnej należnej miastu,</w:t>
      </w:r>
    </w:p>
    <w:p>
      <w:pPr>
        <w:keepNext w:val="0"/>
        <w:keepLines w:val="0"/>
        <w:widowControl/>
        <w:numPr>
          <w:ilvl w:val="0"/>
          <w:numId w:val="1"/>
        </w:numPr>
        <w:suppressLineNumbers w:val="0"/>
        <w:shd w:val="clear" w:color="auto" w:fill="auto"/>
        <w:suppressAutoHyphens w:val="0"/>
        <w:spacing w:before="0" w:beforeAutospacing="0" w:after="240" w:afterAutospacing="0" w:line="240" w:lineRule="auto"/>
        <w:ind w:left="680" w:right="0" w:hanging="340"/>
        <w:contextualSpacing w:val="0"/>
        <w:jc w:val="both"/>
        <w:rPr>
          <w:rFonts w:eastAsia="Times New Roman" w:cs="Times New Roman"/>
          <w:szCs w:val="20"/>
          <w:lang w:bidi="ar-SA"/>
        </w:rPr>
      </w:pPr>
      <w:r>
        <w:rPr>
          <w:rFonts w:eastAsia="Times New Roman" w:cs="Times New Roman"/>
          <w:szCs w:val="20"/>
          <w:lang w:bidi="ar-SA"/>
        </w:rPr>
        <w:t>potrzeb finansowych, wpływających na kształtowanie dochodów transferowych z budżetu państwa.</w:t>
      </w:r>
    </w:p>
    <w:p>
      <w:pPr>
        <w:keepNext w:val="0"/>
        <w:keepLines w:val="0"/>
        <w:widowControl/>
        <w:suppressLineNumbers w:val="0"/>
        <w:shd w:val="clear" w:color="auto" w:fill="auto"/>
        <w:suppressAutoHyphens w:val="0"/>
        <w:spacing w:before="24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Wyliczeń dokonano na podstawie danych ustalonych dla Bytomia na rok 2026 oraz zbiorczych dla danej kategorii jst, tj. miast na prawach powiatu (dalej MNPP), w zakresie określonym ustawą.</w:t>
      </w:r>
    </w:p>
    <w:p>
      <w:pPr>
        <w:keepNext w:val="0"/>
        <w:keepLines w:val="0"/>
        <w:widowControl/>
        <w:suppressLineNumbers w:val="0"/>
        <w:shd w:val="clear" w:color="auto" w:fill="auto"/>
        <w:suppressAutoHyphens w:val="0"/>
        <w:spacing w:before="24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b/>
          <w:szCs w:val="20"/>
          <w:lang w:bidi="ar-SA"/>
        </w:rPr>
        <w:t>Szczególną uwagę zwrócono na mechanizmy i algorytmy ustawy o dochodach jednostek samorządu terytorialnego, które w pierwszym roku jej obowiązywania, tj. 2025 spowodowały rażące ograniczenie dochodów transferowych miasta. Zmniejszyły je drastycznie na rok 2026, czego dowodem są przesłane miastu informacje MF o kwotach dochodów transferowych. Należy przy tym podkreślić, iż miasto wielokrotnie kierowało w tej sprawie pisma do Prezesa Rady Ministrów oraz Ministra Finansów. Szczegółowe wyjaśnienia w tym zakresie zawarto przy opisie potrzeb wydatkowych, w dalszej części niniejszego opracowania</w:t>
      </w:r>
      <w:r>
        <w:rPr>
          <w:rFonts w:eastAsia="Times New Roman" w:cs="Times New Roman"/>
          <w:szCs w:val="20"/>
          <w:lang w:bidi="ar-SA"/>
        </w:rPr>
        <w:t>.</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 xml:space="preserve">Wyliczenia oparto również na wskaźnikach wynikających z wytycznych MF dotyczących stosowania jednolitych wskaźników makroekonomicznych będących podstawą oszacowania skutków finansowych projektowanych ustaw z dnia 17 lipca 2025 r. oraz danych ustalonych przez GUS w zakresie określonym ustawą. </w:t>
      </w:r>
      <w:r>
        <w:rPr>
          <w:rFonts w:eastAsia="Times New Roman" w:cs="Times New Roman"/>
          <w:b/>
          <w:szCs w:val="20"/>
          <w:lang w:bidi="ar-SA"/>
        </w:rPr>
        <w:t>Dane dotyczące dochodów i wydatków w latach 2030-2046 indeksowano wskaźnikiem CPI ustalonym w ww. wytycznych.</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 xml:space="preserve">Szczegółowo analizowano kształtowanie się największych źródeł dochodów, tj. dochodów z tytułu udziału miasta w podatkach dochodowych od osób fizycznych i prawnych, subwencji z budżetu państwa, dochodów z podatków i opłat lokalnych, dotacji i środków przyznawanych na cele bieżące i inwestycyjne oraz dochodów ze sprzedaży majątku. Pozostałe kategorie dochodów analizowano zbiorczo. </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b/>
          <w:szCs w:val="20"/>
          <w:lang w:bidi="ar-SA"/>
        </w:rPr>
      </w:pPr>
      <w:r>
        <w:rPr>
          <w:rFonts w:eastAsia="Times New Roman" w:cs="Times New Roman"/>
          <w:b/>
          <w:szCs w:val="20"/>
          <w:lang w:bidi="ar-SA"/>
        </w:rPr>
        <w:t>1.1.1. Udział w podatku dochodowym od osób fizycznych (PIT)</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Wysokość udziału we wpływach z podatku dochodowego od osób fizycznych na 2026 rok przyjęto w wartościach ustalonych przez MF w informacji nr ST3.4750.27.2025 z 14 października 2025 r.</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Jednocześnie udziały w podatku dochodowym od osób fizycznych na lata 2027-2029 wyliczono zgodnie z art. 11 ustawy, bazując na podanej w ww. zawiadomieniu kwocie dochodów podatników tego podatku zamieszkałych na terenie Bytomia za rok 2024.</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 xml:space="preserve">W tym miejscu należy zauważyć, do wyliczeń należnych udziałów dla samorządów przyjęło na rok 2025 jako bazę rok 2022. Ustawa o dochodach jednostek samorządu terytorialnego wskazuje w art. 13, iż: </w:t>
      </w:r>
    </w:p>
    <w:p>
      <w:pPr>
        <w:keepNext w:val="0"/>
        <w:keepLines w:val="0"/>
        <w:widowControl/>
        <w:suppressLineNumbers w:val="0"/>
        <w:shd w:val="clear" w:color="auto" w:fill="FFFFFF"/>
        <w:suppressAutoHyphens w:val="0"/>
        <w:spacing w:before="0" w:beforeAutospacing="0" w:after="240" w:afterAutospacing="0" w:line="240" w:lineRule="auto"/>
        <w:ind w:left="0" w:right="0" w:firstLine="0"/>
        <w:contextualSpacing w:val="0"/>
        <w:jc w:val="both"/>
        <w:rPr>
          <w:rFonts w:eastAsia="Times New Roman" w:cs="Times New Roman"/>
          <w:i/>
          <w:szCs w:val="20"/>
          <w:lang w:bidi="ar-SA"/>
        </w:rPr>
      </w:pPr>
      <w:r>
        <w:rPr>
          <w:rFonts w:eastAsia="Times New Roman" w:cs="Times New Roman"/>
          <w:i/>
          <w:szCs w:val="20"/>
          <w:lang w:bidi="ar-SA"/>
        </w:rPr>
        <w:t xml:space="preserve">„[…] 1. Dochody podatników podatku dochodowego od osób fizycznych oraz dochody podatników podatku dochodowego od osób prawnych, o których mowa w art. 11 i art. 12, </w:t>
      </w:r>
      <w:r>
        <w:rPr>
          <w:rFonts w:eastAsia="Times New Roman" w:cs="Times New Roman"/>
          <w:b/>
          <w:i/>
          <w:szCs w:val="20"/>
          <w:lang w:bidi="ar-SA"/>
        </w:rPr>
        <w:t>ustala się na podstawie danych zawartych w złożonych za rok bazowy zeznaniach podatkowych</w:t>
      </w:r>
      <w:r>
        <w:rPr>
          <w:rFonts w:eastAsia="Times New Roman" w:cs="Times New Roman"/>
          <w:i/>
          <w:szCs w:val="20"/>
          <w:lang w:bidi="ar-SA"/>
        </w:rPr>
        <w:t>, według stanu na dzień 30 czerwca roku poprzedzającego rok budżetowy.</w:t>
      </w:r>
    </w:p>
    <w:p>
      <w:pPr>
        <w:keepNext w:val="0"/>
        <w:keepLines w:val="0"/>
        <w:widowControl/>
        <w:suppressLineNumbers w:val="0"/>
        <w:shd w:val="clear" w:color="auto" w:fill="FFFFFF"/>
        <w:suppressAutoHyphens w:val="0"/>
        <w:spacing w:before="0" w:beforeAutospacing="0" w:after="240" w:afterAutospacing="0" w:line="240" w:lineRule="auto"/>
        <w:ind w:left="0" w:right="0" w:firstLine="0"/>
        <w:contextualSpacing w:val="0"/>
        <w:jc w:val="both"/>
        <w:rPr>
          <w:rFonts w:eastAsia="Times New Roman" w:cs="Times New Roman"/>
          <w:i/>
          <w:szCs w:val="20"/>
          <w:lang w:bidi="ar-SA"/>
        </w:rPr>
      </w:pPr>
      <w:r>
        <w:rPr>
          <w:rFonts w:eastAsia="Times New Roman" w:cs="Times New Roman"/>
          <w:i/>
          <w:szCs w:val="20"/>
          <w:lang w:bidi="ar-SA"/>
        </w:rPr>
        <w:t xml:space="preserve">2. </w:t>
      </w:r>
      <w:r>
        <w:rPr>
          <w:rFonts w:eastAsia="Times New Roman" w:cs="Times New Roman"/>
          <w:b/>
          <w:i/>
          <w:szCs w:val="20"/>
          <w:lang w:bidi="ar-SA"/>
        </w:rPr>
        <w:t>W przypadku gdy dane, o których mowa w ust. 1, nie są dostępne, dochody podatników podatku dochodowego od osób fizycznych oraz dochody podatników podatku dochodowego od osób prawnych ustala się na podstawie danych z ostatniego roku, za który dane te są dostępne</w:t>
      </w:r>
      <w:r>
        <w:rPr>
          <w:rFonts w:eastAsia="Times New Roman" w:cs="Times New Roman"/>
          <w:i/>
          <w:szCs w:val="20"/>
          <w:lang w:bidi="ar-SA"/>
        </w:rPr>
        <w:t>, według stanu na dzień 30 czerwca roku poprzedzającego rok budżetowy i waloryzuje się odpowiednio zgodnie z art. 11 ust. 2 i art. 12 ust. 2. […]”</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Prezentując należne samorządom na rok 2025 udziały w PIT bazowano na roku 2022, argumentując to brakiem dostępu do bazy na rok 2023. Fakt ten, biorąc pod uwagę datę wejścia ustawy w życie (październik 2025 r.), wydaje się niewiarygodny, gdyż na rok 2026 wyliczenia oparto na bazie roku 2024, zgodnie z podstawowymi założeniami ustawy, wynikającymi z wyżej cytowanego art. 13 ust. 1).</w:t>
      </w:r>
    </w:p>
    <w:p>
      <w:pPr>
        <w:keepNext w:val="0"/>
        <w:keepLines w:val="0"/>
        <w:widowControl/>
        <w:suppressLineNumbers w:val="0"/>
        <w:shd w:val="clear" w:color="auto" w:fill="auto"/>
        <w:suppressAutoHyphens w:val="0"/>
        <w:spacing w:before="0" w:beforeAutospacing="0" w:after="12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Warto przy tym przedstawić dane dotyczące wpływów z tytułu podatku dochodowego od osób fizycznych do budżetu państwa w latach 2022, 2023 i 2024, po uwzględnieniu udziałów należnych samorządom (wyliczenia na podstawie sprawozdań rocznych budżetu państwa</w:t>
      </w:r>
      <w:r>
        <w:rPr>
          <w:rFonts w:eastAsia="Times New Roman" w:cs="Times New Roman"/>
          <w:szCs w:val="20"/>
          <w:vertAlign w:val="superscript"/>
          <w:lang w:bidi="ar-SA"/>
        </w:rPr>
        <w:footnoteReference w:id="2"/>
      </w:r>
      <w:r>
        <w:rPr>
          <w:rFonts w:eastAsia="Times New Roman" w:cs="Times New Roman"/>
          <w:szCs w:val="20"/>
          <w:lang w:bidi="ar-SA"/>
        </w:rPr>
        <w:t>):</w:t>
      </w:r>
    </w:p>
    <w:tbl>
      <w:tblPr>
        <w:tblStyle w:val="TableNormal"/>
        <w:tblW w:w="8680" w:type="dxa"/>
        <w:jc w:val="center"/>
        <w:tblInd w:w="59" w:type="dxa"/>
        <w:tblCellMar>
          <w:left w:w="70" w:type="dxa"/>
          <w:right w:w="70" w:type="dxa"/>
        </w:tblCellMar>
        <w:tblLook w:val="04A0"/>
      </w:tblPr>
      <w:tblGrid>
        <w:gridCol w:w="4223"/>
        <w:gridCol w:w="1747"/>
        <w:gridCol w:w="1392"/>
        <w:gridCol w:w="1317"/>
      </w:tblGrid>
      <w:tr>
        <w:tblPrEx>
          <w:tblW w:w="8680" w:type="dxa"/>
          <w:jc w:val="center"/>
          <w:tblInd w:w="59" w:type="dxa"/>
          <w:tblCellMar>
            <w:left w:w="70" w:type="dxa"/>
            <w:right w:w="70" w:type="dxa"/>
          </w:tblCellMar>
          <w:tblLook w:val="04A0"/>
        </w:tblPrEx>
        <w:trPr>
          <w:trHeight w:val="397"/>
          <w:jc w:val="center"/>
        </w:trPr>
        <w:tc>
          <w:tcPr>
            <w:tcW w:w="6080" w:type="dxa"/>
            <w:gridSpan w:val="2"/>
            <w:tcBorders>
              <w:top w:val="nil"/>
              <w:left w:val="nil"/>
              <w:bottom w:val="nil"/>
              <w:right w:val="nil"/>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b/>
                <w:sz w:val="20"/>
                <w:szCs w:val="20"/>
                <w:lang w:bidi="ar-SA"/>
              </w:rPr>
            </w:pPr>
            <w:r>
              <w:rPr>
                <w:rFonts w:eastAsia="Times New Roman" w:cs="Times New Roman"/>
                <w:b/>
                <w:sz w:val="20"/>
                <w:szCs w:val="20"/>
                <w:lang w:bidi="ar-SA"/>
              </w:rPr>
              <w:t>DOCHODY BUDŻETU PAŃSTWA W 2022-2024</w:t>
            </w:r>
          </w:p>
        </w:tc>
        <w:tc>
          <w:tcPr>
            <w:tcW w:w="1340" w:type="dxa"/>
            <w:tcBorders>
              <w:top w:val="nil"/>
              <w:left w:val="nil"/>
              <w:bottom w:val="nil"/>
              <w:right w:val="nil"/>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p>
        </w:tc>
        <w:tc>
          <w:tcPr>
            <w:tcW w:w="1260" w:type="dxa"/>
            <w:tcBorders>
              <w:top w:val="nil"/>
              <w:left w:val="nil"/>
              <w:bottom w:val="nil"/>
              <w:right w:val="nil"/>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p>
        </w:tc>
      </w:tr>
      <w:tr>
        <w:tblPrEx>
          <w:tblW w:w="8680" w:type="dxa"/>
          <w:jc w:val="center"/>
          <w:tblInd w:w="59" w:type="dxa"/>
          <w:tblCellMar>
            <w:left w:w="70" w:type="dxa"/>
            <w:right w:w="70" w:type="dxa"/>
          </w:tblCellMar>
          <w:tblLook w:val="04A0"/>
        </w:tblPrEx>
        <w:trPr>
          <w:trHeight w:val="227"/>
          <w:jc w:val="center"/>
        </w:trPr>
        <w:tc>
          <w:tcPr>
            <w:tcW w:w="4360" w:type="dxa"/>
            <w:tcBorders>
              <w:top w:val="nil"/>
              <w:left w:val="nil"/>
              <w:bottom w:val="single" w:sz="4" w:space="0" w:color="auto"/>
              <w:right w:val="nil"/>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p>
        </w:tc>
        <w:tc>
          <w:tcPr>
            <w:tcW w:w="1720" w:type="dxa"/>
            <w:tcBorders>
              <w:top w:val="nil"/>
              <w:left w:val="nil"/>
              <w:bottom w:val="single" w:sz="4" w:space="0" w:color="auto"/>
              <w:right w:val="nil"/>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p>
        </w:tc>
        <w:tc>
          <w:tcPr>
            <w:tcW w:w="1340" w:type="dxa"/>
            <w:tcBorders>
              <w:top w:val="nil"/>
              <w:left w:val="nil"/>
              <w:bottom w:val="single" w:sz="4" w:space="0" w:color="auto"/>
              <w:right w:val="nil"/>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p>
        </w:tc>
        <w:tc>
          <w:tcPr>
            <w:tcW w:w="1260" w:type="dxa"/>
            <w:tcBorders>
              <w:top w:val="nil"/>
              <w:left w:val="nil"/>
              <w:bottom w:val="single" w:sz="4" w:space="0" w:color="auto"/>
              <w:right w:val="nil"/>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w tys. zł</w:t>
            </w:r>
          </w:p>
        </w:tc>
      </w:tr>
      <w:tr>
        <w:tblPrEx>
          <w:tblW w:w="8680" w:type="dxa"/>
          <w:jc w:val="center"/>
          <w:tblInd w:w="59" w:type="dxa"/>
          <w:tblCellMar>
            <w:left w:w="70" w:type="dxa"/>
            <w:right w:w="70" w:type="dxa"/>
          </w:tblCellMar>
          <w:tblLook w:val="04A0"/>
        </w:tblPrEx>
        <w:trPr>
          <w:trHeight w:val="340"/>
          <w:jc w:val="center"/>
        </w:trPr>
        <w:tc>
          <w:tcPr>
            <w:tcW w:w="4360" w:type="dxa"/>
            <w:vMerge w:val="restart"/>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 </w:t>
            </w:r>
          </w:p>
        </w:tc>
        <w:tc>
          <w:tcPr>
            <w:tcW w:w="4320" w:type="dxa"/>
            <w:gridSpan w:val="3"/>
            <w:tcBorders>
              <w:top w:val="single" w:sz="4" w:space="0" w:color="auto"/>
              <w:left w:val="single" w:sz="4" w:space="0" w:color="auto"/>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Wykonanie</w:t>
            </w:r>
          </w:p>
        </w:tc>
      </w:tr>
      <w:tr>
        <w:tblPrEx>
          <w:tblW w:w="8680" w:type="dxa"/>
          <w:jc w:val="center"/>
          <w:tblInd w:w="59" w:type="dxa"/>
          <w:tblCellMar>
            <w:left w:w="70" w:type="dxa"/>
            <w:right w:w="70" w:type="dxa"/>
          </w:tblCellMar>
          <w:tblLook w:val="04A0"/>
        </w:tblPrEx>
        <w:trPr>
          <w:trHeight w:val="340"/>
          <w:jc w:val="center"/>
        </w:trPr>
        <w:tc>
          <w:tcPr>
            <w:tcW w:w="4360" w:type="dxa"/>
            <w:vMerge/>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p>
        </w:tc>
        <w:tc>
          <w:tcPr>
            <w:tcW w:w="1720" w:type="dxa"/>
            <w:tcBorders>
              <w:top w:val="single" w:sz="4" w:space="0" w:color="auto"/>
              <w:left w:val="nil"/>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2022</w:t>
            </w:r>
          </w:p>
        </w:tc>
        <w:tc>
          <w:tcPr>
            <w:tcW w:w="1340" w:type="dxa"/>
            <w:tcBorders>
              <w:top w:val="single" w:sz="4" w:space="0" w:color="auto"/>
              <w:left w:val="nil"/>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2023</w:t>
            </w:r>
          </w:p>
        </w:tc>
        <w:tc>
          <w:tcPr>
            <w:tcW w:w="1260" w:type="dxa"/>
            <w:tcBorders>
              <w:top w:val="single" w:sz="4" w:space="0" w:color="auto"/>
              <w:left w:val="nil"/>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2024</w:t>
            </w:r>
          </w:p>
        </w:tc>
      </w:tr>
      <w:tr>
        <w:tblPrEx>
          <w:tblW w:w="8680" w:type="dxa"/>
          <w:jc w:val="center"/>
          <w:tblInd w:w="59" w:type="dxa"/>
          <w:tblCellMar>
            <w:left w:w="70" w:type="dxa"/>
            <w:right w:w="70" w:type="dxa"/>
          </w:tblCellMar>
          <w:tblLook w:val="04A0"/>
        </w:tblPrEx>
        <w:trPr>
          <w:trHeight w:val="340"/>
          <w:jc w:val="center"/>
        </w:trPr>
        <w:tc>
          <w:tcPr>
            <w:tcW w:w="4360"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200"/>
              <w:contextualSpacing w:val="0"/>
              <w:rPr>
                <w:rFonts w:eastAsia="Times New Roman" w:cs="Times New Roman"/>
                <w:sz w:val="20"/>
                <w:szCs w:val="20"/>
                <w:lang w:bidi="ar-SA"/>
              </w:rPr>
            </w:pPr>
            <w:r>
              <w:rPr>
                <w:rFonts w:eastAsia="Times New Roman" w:cs="Times New Roman"/>
                <w:sz w:val="20"/>
                <w:szCs w:val="20"/>
                <w:lang w:bidi="ar-SA"/>
              </w:rPr>
              <w:t>1.4. Podatek dochodowy od osób prawnych</w:t>
            </w:r>
          </w:p>
        </w:tc>
        <w:tc>
          <w:tcPr>
            <w:tcW w:w="1720"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 xml:space="preserve">70 136 603 </w:t>
            </w:r>
          </w:p>
        </w:tc>
        <w:tc>
          <w:tcPr>
            <w:tcW w:w="1340"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 xml:space="preserve">67 883 082 </w:t>
            </w:r>
          </w:p>
        </w:tc>
        <w:tc>
          <w:tcPr>
            <w:tcW w:w="1260"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 xml:space="preserve">60 239 720 </w:t>
            </w:r>
          </w:p>
        </w:tc>
      </w:tr>
      <w:tr>
        <w:tblPrEx>
          <w:tblW w:w="8680" w:type="dxa"/>
          <w:jc w:val="center"/>
          <w:tblInd w:w="59" w:type="dxa"/>
          <w:tblCellMar>
            <w:left w:w="70" w:type="dxa"/>
            <w:right w:w="70" w:type="dxa"/>
          </w:tblCellMar>
          <w:tblLook w:val="04A0"/>
        </w:tblPrEx>
        <w:trPr>
          <w:trHeight w:val="340"/>
          <w:jc w:val="center"/>
        </w:trPr>
        <w:tc>
          <w:tcPr>
            <w:tcW w:w="4360"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200"/>
              <w:contextualSpacing w:val="0"/>
              <w:rPr>
                <w:rFonts w:eastAsia="Times New Roman" w:cs="Times New Roman"/>
                <w:sz w:val="20"/>
                <w:szCs w:val="20"/>
                <w:lang w:bidi="ar-SA"/>
              </w:rPr>
            </w:pPr>
            <w:r>
              <w:rPr>
                <w:rFonts w:eastAsia="Times New Roman" w:cs="Times New Roman"/>
                <w:sz w:val="20"/>
                <w:szCs w:val="20"/>
                <w:lang w:bidi="ar-SA"/>
              </w:rPr>
              <w:t>1.5. Podatek dochodowy od osób fizycznych</w:t>
            </w:r>
          </w:p>
        </w:tc>
        <w:tc>
          <w:tcPr>
            <w:tcW w:w="1720"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 xml:space="preserve">68 107 159 </w:t>
            </w:r>
          </w:p>
        </w:tc>
        <w:tc>
          <w:tcPr>
            <w:tcW w:w="1340"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 xml:space="preserve">91 665 808 </w:t>
            </w:r>
          </w:p>
        </w:tc>
        <w:tc>
          <w:tcPr>
            <w:tcW w:w="1260"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 xml:space="preserve">97 599 844 </w:t>
            </w:r>
          </w:p>
        </w:tc>
      </w:tr>
    </w:tbl>
    <w:p>
      <w:pPr>
        <w:keepNext w:val="0"/>
        <w:keepLines w:val="0"/>
        <w:widowControl/>
        <w:suppressLineNumbers w:val="0"/>
        <w:shd w:val="clear" w:color="auto" w:fill="auto"/>
        <w:suppressAutoHyphens w:val="0"/>
        <w:spacing w:before="24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 xml:space="preserve">Na podstawie faktu, iż wpływy za rok 2022 są znacząco niższe niż za rok 2023, a posłużyły jako baza dla wyliczeń należnych udziałów dla samorządów na rok 2025 można wysunąć przypuszczenie, iż gdyby bazę stanowił rok 2023 tak jak wynika z art. 13 ust. 1 wyżej cytowanej ustawy należne udziały dla samorządów na rok 2025 mogłyby być analogicznie proporcjonalnie wyższe aż o 34,5% względem łącznie otrzymanych przez samorządy. </w:t>
      </w:r>
    </w:p>
    <w:p>
      <w:pPr>
        <w:keepNext w:val="0"/>
        <w:keepLines w:val="0"/>
        <w:widowControl/>
        <w:suppressLineNumbers w:val="0"/>
        <w:shd w:val="clear" w:color="auto" w:fill="auto"/>
        <w:suppressAutoHyphens w:val="0"/>
        <w:spacing w:before="0" w:beforeAutospacing="0" w:after="12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Wyliczenia na rok 2026 MF oparło na dochodach podatników podatku dochodowego od osób fizycznych za rok 2024. Poniżej przedstawiono kwoty udziału dla Bytomia na podstawie danych MF za rok 2025 i 2026 oraz dokonano waloryzacji na lata 2027-2029 w oparciu o ostatnią podaną przez MF bazę czyli za rok 2024. Do wyliczeń przyjęto określoną w art. 11 ust. 2 ustawy metodę wyliczenia w oparciu o waloryzację, bazując na wytycznych MF w założeniach projektu budżetu państwa na rok 2026 w zakresie wynagrodzenia i zatrudnienia w gospodarce narodowej oraz danych GUS w tym zakresie.</w:t>
      </w:r>
    </w:p>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ascii="Times New Roman" w:eastAsia="Times New Roman" w:hAnsi="Times New Roman" w:cs="Times New Roman"/>
          <w:szCs w:val="20"/>
          <w:lang w:bidi="ar-SA"/>
        </w:rPr>
      </w:pPr>
    </w:p>
    <w:tbl>
      <w:tblPr>
        <w:tblStyle w:val="TableNormal"/>
        <w:tblW w:w="14752"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758"/>
        <w:gridCol w:w="1536"/>
        <w:gridCol w:w="1378"/>
        <w:gridCol w:w="1399"/>
        <w:gridCol w:w="1281"/>
        <w:gridCol w:w="1195"/>
        <w:gridCol w:w="1677"/>
        <w:gridCol w:w="1701"/>
        <w:gridCol w:w="992"/>
        <w:gridCol w:w="1560"/>
        <w:gridCol w:w="1275"/>
      </w:tblGrid>
      <w:tr>
        <w:tblPrEx>
          <w:tblW w:w="14752"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Ex>
        <w:trPr>
          <w:trHeight w:val="227"/>
        </w:trPr>
        <w:tc>
          <w:tcPr>
            <w:tcW w:w="758"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br w:type="page"/>
              <w:t>rok</w:t>
            </w:r>
          </w:p>
        </w:tc>
        <w:tc>
          <w:tcPr>
            <w:tcW w:w="1536"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dochody podatników w roku bazowym</w:t>
            </w:r>
          </w:p>
        </w:tc>
        <w:tc>
          <w:tcPr>
            <w:tcW w:w="1378"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Prognoza MF wynagrodzenie w gospodarce narodowej</w:t>
            </w:r>
          </w:p>
        </w:tc>
        <w:tc>
          <w:tcPr>
            <w:tcW w:w="1399"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Wynagrodzenie w gospodarce narodowej w roku bazowym na 30.06.</w:t>
            </w:r>
          </w:p>
        </w:tc>
        <w:tc>
          <w:tcPr>
            <w:tcW w:w="1281"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Prognoza MF zatrudnienie w gospodarce narodowej</w:t>
            </w:r>
          </w:p>
        </w:tc>
        <w:tc>
          <w:tcPr>
            <w:tcW w:w="1195"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Zatrudnienie w gospodarce narodowej w roku bazowym na 30.06.</w:t>
            </w:r>
          </w:p>
        </w:tc>
        <w:tc>
          <w:tcPr>
            <w:tcW w:w="1677"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Współczynnik waloryzacji</w:t>
            </w:r>
          </w:p>
        </w:tc>
        <w:tc>
          <w:tcPr>
            <w:tcW w:w="1701"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zwaloryzowane dochody podatników PIT</w:t>
            </w:r>
          </w:p>
        </w:tc>
        <w:tc>
          <w:tcPr>
            <w:tcW w:w="992"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w:t>
            </w:r>
          </w:p>
        </w:tc>
        <w:tc>
          <w:tcPr>
            <w:tcW w:w="1560"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D(PIT)</w:t>
            </w:r>
          </w:p>
        </w:tc>
        <w:tc>
          <w:tcPr>
            <w:tcW w:w="1275"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Przyrost</w:t>
            </w:r>
          </w:p>
        </w:tc>
      </w:tr>
      <w:tr>
        <w:tblPrEx>
          <w:tblW w:w="14752" w:type="dxa"/>
          <w:tblInd w:w="60" w:type="dxa"/>
          <w:tblLayout w:type="fixed"/>
          <w:tblCellMar>
            <w:left w:w="70" w:type="dxa"/>
            <w:right w:w="70" w:type="dxa"/>
          </w:tblCellMar>
          <w:tblLook w:val="04A0"/>
        </w:tblPrEx>
        <w:trPr>
          <w:trHeight w:val="227"/>
        </w:trPr>
        <w:tc>
          <w:tcPr>
            <w:tcW w:w="758"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(1)</w:t>
            </w:r>
          </w:p>
        </w:tc>
        <w:tc>
          <w:tcPr>
            <w:tcW w:w="1536"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(2)n = (2)2022 *(7)n</w:t>
            </w:r>
          </w:p>
        </w:tc>
        <w:tc>
          <w:tcPr>
            <w:tcW w:w="1378"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(3)</w:t>
            </w:r>
          </w:p>
        </w:tc>
        <w:tc>
          <w:tcPr>
            <w:tcW w:w="1399"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(4)</w:t>
            </w:r>
          </w:p>
        </w:tc>
        <w:tc>
          <w:tcPr>
            <w:tcW w:w="1281"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(5)</w:t>
            </w:r>
          </w:p>
        </w:tc>
        <w:tc>
          <w:tcPr>
            <w:tcW w:w="1195"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(6)</w:t>
            </w:r>
          </w:p>
        </w:tc>
        <w:tc>
          <w:tcPr>
            <w:tcW w:w="1677"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(7) n = [(3)n/(4)]*[(5)n/(6)]</w:t>
            </w:r>
          </w:p>
        </w:tc>
        <w:tc>
          <w:tcPr>
            <w:tcW w:w="1701"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(8)</w:t>
            </w:r>
          </w:p>
        </w:tc>
        <w:tc>
          <w:tcPr>
            <w:tcW w:w="992"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(9)</w:t>
            </w:r>
          </w:p>
        </w:tc>
        <w:tc>
          <w:tcPr>
            <w:tcW w:w="1560"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(10)=(2)*(7)</w:t>
            </w:r>
          </w:p>
        </w:tc>
        <w:tc>
          <w:tcPr>
            <w:tcW w:w="1275"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(11)</w:t>
            </w:r>
          </w:p>
        </w:tc>
      </w:tr>
      <w:tr>
        <w:tblPrEx>
          <w:tblW w:w="14752" w:type="dxa"/>
          <w:tblInd w:w="60" w:type="dxa"/>
          <w:tblLayout w:type="fixed"/>
          <w:tblCellMar>
            <w:left w:w="70" w:type="dxa"/>
            <w:right w:w="70" w:type="dxa"/>
          </w:tblCellMar>
          <w:tblLook w:val="04A0"/>
        </w:tblPrEx>
        <w:trPr>
          <w:trHeight w:val="227"/>
        </w:trPr>
        <w:tc>
          <w:tcPr>
            <w:tcW w:w="758"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2022</w:t>
            </w:r>
          </w:p>
        </w:tc>
        <w:tc>
          <w:tcPr>
            <w:tcW w:w="1536"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16"/>
                <w:szCs w:val="20"/>
                <w:lang w:bidi="ar-SA"/>
              </w:rPr>
            </w:pPr>
            <w:r>
              <w:rPr>
                <w:rFonts w:eastAsia="Times New Roman" w:cs="Times New Roman"/>
                <w:b/>
                <w:sz w:val="16"/>
                <w:szCs w:val="20"/>
                <w:lang w:bidi="ar-SA"/>
              </w:rPr>
              <w:t>5 299 962 130,97</w:t>
            </w:r>
          </w:p>
        </w:tc>
        <w:tc>
          <w:tcPr>
            <w:tcW w:w="1378"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ascii="Times New Roman" w:eastAsia="Times New Roman" w:hAnsi="Times New Roman" w:cs="Times New Roman"/>
                <w:sz w:val="16"/>
                <w:szCs w:val="20"/>
                <w:lang w:bidi="ar-SA"/>
              </w:rPr>
            </w:pPr>
            <w:r>
              <w:rPr>
                <w:rFonts w:ascii="Times New Roman" w:eastAsia="Times New Roman" w:hAnsi="Times New Roman" w:cs="Times New Roman"/>
                <w:sz w:val="16"/>
                <w:szCs w:val="20"/>
                <w:lang w:bidi="ar-SA"/>
              </w:rPr>
              <w:t>–</w:t>
            </w:r>
          </w:p>
        </w:tc>
        <w:tc>
          <w:tcPr>
            <w:tcW w:w="1399"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6 362,90</w:t>
            </w:r>
          </w:p>
        </w:tc>
        <w:tc>
          <w:tcPr>
            <w:tcW w:w="128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ascii="Times New Roman" w:eastAsia="Times New Roman" w:hAnsi="Times New Roman" w:cs="Times New Roman"/>
                <w:sz w:val="16"/>
                <w:szCs w:val="20"/>
                <w:lang w:bidi="ar-SA"/>
              </w:rPr>
            </w:pPr>
            <w:r>
              <w:rPr>
                <w:rFonts w:ascii="Times New Roman" w:eastAsia="Times New Roman" w:hAnsi="Times New Roman" w:cs="Times New Roman"/>
                <w:sz w:val="16"/>
                <w:szCs w:val="20"/>
                <w:lang w:bidi="ar-SA"/>
              </w:rPr>
              <w:t>–</w:t>
            </w:r>
          </w:p>
        </w:tc>
        <w:tc>
          <w:tcPr>
            <w:tcW w:w="1195"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11 015 812,00</w:t>
            </w:r>
          </w:p>
        </w:tc>
        <w:tc>
          <w:tcPr>
            <w:tcW w:w="167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ascii="Times New Roman" w:eastAsia="Times New Roman" w:hAnsi="Times New Roman" w:cs="Times New Roman"/>
                <w:sz w:val="16"/>
                <w:szCs w:val="20"/>
                <w:lang w:bidi="ar-SA"/>
              </w:rPr>
            </w:pPr>
            <w:r>
              <w:rPr>
                <w:rFonts w:ascii="Times New Roman" w:eastAsia="Times New Roman" w:hAnsi="Times New Roman" w:cs="Times New Roman"/>
                <w:sz w:val="16"/>
                <w:szCs w:val="20"/>
                <w:lang w:bidi="ar-SA"/>
              </w:rPr>
              <w:t>–</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ascii="Times New Roman" w:eastAsia="Times New Roman" w:hAnsi="Times New Roman" w:cs="Times New Roman"/>
                <w:sz w:val="16"/>
                <w:szCs w:val="20"/>
                <w:lang w:bidi="ar-SA"/>
              </w:rPr>
            </w:pPr>
            <w:r>
              <w:rPr>
                <w:rFonts w:ascii="Times New Roman" w:eastAsia="Times New Roman" w:hAnsi="Times New Roman" w:cs="Times New Roman"/>
                <w:sz w:val="16"/>
                <w:szCs w:val="20"/>
                <w:lang w:bidi="ar-SA"/>
              </w:rPr>
              <w:t>–</w:t>
            </w:r>
          </w:p>
        </w:tc>
        <w:tc>
          <w:tcPr>
            <w:tcW w:w="992"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ascii="Times New Roman" w:eastAsia="Times New Roman" w:hAnsi="Times New Roman" w:cs="Times New Roman"/>
                <w:sz w:val="16"/>
                <w:szCs w:val="20"/>
                <w:lang w:bidi="ar-SA"/>
              </w:rPr>
            </w:pPr>
            <w:r>
              <w:rPr>
                <w:rFonts w:ascii="Times New Roman" w:eastAsia="Times New Roman" w:hAnsi="Times New Roman" w:cs="Times New Roman"/>
                <w:sz w:val="16"/>
                <w:szCs w:val="20"/>
                <w:lang w:bidi="ar-SA"/>
              </w:rPr>
              <w:t>–</w:t>
            </w:r>
          </w:p>
        </w:tc>
        <w:tc>
          <w:tcPr>
            <w:tcW w:w="1560"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ascii="Times New Roman" w:eastAsia="Times New Roman" w:hAnsi="Times New Roman" w:cs="Times New Roman"/>
                <w:sz w:val="16"/>
                <w:szCs w:val="20"/>
                <w:lang w:bidi="ar-SA"/>
              </w:rPr>
            </w:pPr>
            <w:r>
              <w:rPr>
                <w:rFonts w:ascii="Times New Roman" w:eastAsia="Times New Roman" w:hAnsi="Times New Roman" w:cs="Times New Roman"/>
                <w:sz w:val="16"/>
                <w:szCs w:val="20"/>
                <w:lang w:bidi="ar-SA"/>
              </w:rPr>
              <w:t>–</w:t>
            </w:r>
          </w:p>
        </w:tc>
        <w:tc>
          <w:tcPr>
            <w:tcW w:w="1275"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ascii="Times New Roman" w:eastAsia="Times New Roman" w:hAnsi="Times New Roman" w:cs="Times New Roman"/>
                <w:sz w:val="16"/>
                <w:szCs w:val="20"/>
                <w:lang w:bidi="ar-SA"/>
              </w:rPr>
            </w:pPr>
            <w:r>
              <w:rPr>
                <w:rFonts w:ascii="Times New Roman" w:eastAsia="Times New Roman" w:hAnsi="Times New Roman" w:cs="Times New Roman"/>
                <w:sz w:val="16"/>
                <w:szCs w:val="20"/>
                <w:lang w:bidi="ar-SA"/>
              </w:rPr>
              <w:t>–</w:t>
            </w:r>
          </w:p>
        </w:tc>
      </w:tr>
      <w:tr>
        <w:tblPrEx>
          <w:tblW w:w="14752" w:type="dxa"/>
          <w:tblInd w:w="60" w:type="dxa"/>
          <w:tblLayout w:type="fixed"/>
          <w:tblCellMar>
            <w:left w:w="70" w:type="dxa"/>
            <w:right w:w="70" w:type="dxa"/>
          </w:tblCellMar>
          <w:tblLook w:val="04A0"/>
        </w:tblPrEx>
        <w:trPr>
          <w:trHeight w:val="227"/>
        </w:trPr>
        <w:tc>
          <w:tcPr>
            <w:tcW w:w="758"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2023</w:t>
            </w:r>
          </w:p>
        </w:tc>
        <w:tc>
          <w:tcPr>
            <w:tcW w:w="1536"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ascii="Times New Roman" w:eastAsia="Times New Roman" w:hAnsi="Times New Roman" w:cs="Times New Roman"/>
                <w:sz w:val="16"/>
                <w:szCs w:val="20"/>
                <w:lang w:bidi="ar-SA"/>
              </w:rPr>
              <w:t>–</w:t>
            </w:r>
            <w:r>
              <w:rPr>
                <w:rFonts w:eastAsia="Times New Roman" w:cs="Times New Roman"/>
                <w:sz w:val="16"/>
                <w:szCs w:val="20"/>
                <w:lang w:bidi="ar-SA"/>
              </w:rPr>
              <w:t> </w:t>
            </w:r>
          </w:p>
        </w:tc>
        <w:tc>
          <w:tcPr>
            <w:tcW w:w="1378"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ascii="Times New Roman" w:eastAsia="Times New Roman" w:hAnsi="Times New Roman" w:cs="Times New Roman"/>
                <w:sz w:val="16"/>
                <w:szCs w:val="20"/>
                <w:lang w:bidi="ar-SA"/>
              </w:rPr>
            </w:pPr>
            <w:r>
              <w:rPr>
                <w:rFonts w:ascii="Times New Roman" w:eastAsia="Times New Roman" w:hAnsi="Times New Roman" w:cs="Times New Roman"/>
                <w:sz w:val="16"/>
                <w:szCs w:val="20"/>
                <w:lang w:bidi="ar-SA"/>
              </w:rPr>
              <w:t>–</w:t>
            </w:r>
          </w:p>
        </w:tc>
        <w:tc>
          <w:tcPr>
            <w:tcW w:w="1399"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128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ascii="Times New Roman" w:eastAsia="Times New Roman" w:hAnsi="Times New Roman" w:cs="Times New Roman"/>
                <w:sz w:val="16"/>
                <w:szCs w:val="20"/>
                <w:lang w:bidi="ar-SA"/>
              </w:rPr>
            </w:pPr>
            <w:r>
              <w:rPr>
                <w:rFonts w:ascii="Times New Roman" w:eastAsia="Times New Roman" w:hAnsi="Times New Roman" w:cs="Times New Roman"/>
                <w:sz w:val="16"/>
                <w:szCs w:val="20"/>
                <w:lang w:bidi="ar-SA"/>
              </w:rPr>
              <w:t>–</w:t>
            </w:r>
          </w:p>
        </w:tc>
        <w:tc>
          <w:tcPr>
            <w:tcW w:w="1195"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167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ascii="Times New Roman" w:eastAsia="Times New Roman" w:hAnsi="Times New Roman" w:cs="Times New Roman"/>
                <w:sz w:val="16"/>
                <w:szCs w:val="20"/>
                <w:lang w:bidi="ar-SA"/>
              </w:rPr>
            </w:pPr>
            <w:r>
              <w:rPr>
                <w:rFonts w:ascii="Times New Roman" w:eastAsia="Times New Roman" w:hAnsi="Times New Roman" w:cs="Times New Roman"/>
                <w:sz w:val="16"/>
                <w:szCs w:val="20"/>
                <w:lang w:bidi="ar-SA"/>
              </w:rPr>
              <w:t>–</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ascii="Times New Roman" w:eastAsia="Times New Roman" w:hAnsi="Times New Roman" w:cs="Times New Roman"/>
                <w:sz w:val="16"/>
                <w:szCs w:val="20"/>
                <w:lang w:bidi="ar-SA"/>
              </w:rPr>
            </w:pPr>
            <w:r>
              <w:rPr>
                <w:rFonts w:ascii="Times New Roman" w:eastAsia="Times New Roman" w:hAnsi="Times New Roman" w:cs="Times New Roman"/>
                <w:sz w:val="16"/>
                <w:szCs w:val="20"/>
                <w:lang w:bidi="ar-SA"/>
              </w:rPr>
              <w:t>–</w:t>
            </w:r>
          </w:p>
        </w:tc>
        <w:tc>
          <w:tcPr>
            <w:tcW w:w="992"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ascii="Times New Roman" w:eastAsia="Times New Roman" w:hAnsi="Times New Roman" w:cs="Times New Roman"/>
                <w:sz w:val="16"/>
                <w:szCs w:val="20"/>
                <w:lang w:bidi="ar-SA"/>
              </w:rPr>
            </w:pPr>
            <w:r>
              <w:rPr>
                <w:rFonts w:ascii="Times New Roman" w:eastAsia="Times New Roman" w:hAnsi="Times New Roman" w:cs="Times New Roman"/>
                <w:sz w:val="16"/>
                <w:szCs w:val="20"/>
                <w:lang w:bidi="ar-SA"/>
              </w:rPr>
              <w:t>–</w:t>
            </w:r>
          </w:p>
        </w:tc>
        <w:tc>
          <w:tcPr>
            <w:tcW w:w="1560"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ascii="Times New Roman" w:eastAsia="Times New Roman" w:hAnsi="Times New Roman" w:cs="Times New Roman"/>
                <w:sz w:val="16"/>
                <w:szCs w:val="20"/>
                <w:lang w:bidi="ar-SA"/>
              </w:rPr>
            </w:pPr>
            <w:r>
              <w:rPr>
                <w:rFonts w:ascii="Times New Roman" w:eastAsia="Times New Roman" w:hAnsi="Times New Roman" w:cs="Times New Roman"/>
                <w:sz w:val="16"/>
                <w:szCs w:val="20"/>
                <w:lang w:bidi="ar-SA"/>
              </w:rPr>
              <w:t>–</w:t>
            </w:r>
          </w:p>
        </w:tc>
        <w:tc>
          <w:tcPr>
            <w:tcW w:w="1275"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ascii="Times New Roman" w:eastAsia="Times New Roman" w:hAnsi="Times New Roman" w:cs="Times New Roman"/>
                <w:sz w:val="16"/>
                <w:szCs w:val="20"/>
                <w:lang w:bidi="ar-SA"/>
              </w:rPr>
            </w:pPr>
            <w:r>
              <w:rPr>
                <w:rFonts w:ascii="Times New Roman" w:eastAsia="Times New Roman" w:hAnsi="Times New Roman" w:cs="Times New Roman"/>
                <w:sz w:val="16"/>
                <w:szCs w:val="20"/>
                <w:lang w:bidi="ar-SA"/>
              </w:rPr>
              <w:t>–</w:t>
            </w:r>
          </w:p>
        </w:tc>
      </w:tr>
      <w:tr>
        <w:tblPrEx>
          <w:tblW w:w="14752" w:type="dxa"/>
          <w:tblInd w:w="60" w:type="dxa"/>
          <w:tblLayout w:type="fixed"/>
          <w:tblCellMar>
            <w:left w:w="70" w:type="dxa"/>
            <w:right w:w="70" w:type="dxa"/>
          </w:tblCellMar>
          <w:tblLook w:val="04A0"/>
        </w:tblPrEx>
        <w:trPr>
          <w:trHeight w:val="227"/>
        </w:trPr>
        <w:tc>
          <w:tcPr>
            <w:tcW w:w="758"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2024</w:t>
            </w:r>
          </w:p>
        </w:tc>
        <w:tc>
          <w:tcPr>
            <w:tcW w:w="1536"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16"/>
                <w:szCs w:val="20"/>
                <w:lang w:bidi="ar-SA"/>
              </w:rPr>
            </w:pPr>
            <w:r>
              <w:rPr>
                <w:rFonts w:eastAsia="Times New Roman" w:cs="Times New Roman"/>
                <w:b/>
                <w:sz w:val="16"/>
                <w:szCs w:val="20"/>
                <w:lang w:bidi="ar-SA"/>
              </w:rPr>
              <w:t>6 892 794 788,89</w:t>
            </w:r>
          </w:p>
        </w:tc>
        <w:tc>
          <w:tcPr>
            <w:tcW w:w="1378"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ascii="Times New Roman" w:eastAsia="Times New Roman" w:hAnsi="Times New Roman" w:cs="Times New Roman"/>
                <w:sz w:val="16"/>
                <w:szCs w:val="20"/>
                <w:lang w:bidi="ar-SA"/>
              </w:rPr>
            </w:pPr>
            <w:r>
              <w:rPr>
                <w:rFonts w:ascii="Times New Roman" w:eastAsia="Times New Roman" w:hAnsi="Times New Roman" w:cs="Times New Roman"/>
                <w:sz w:val="16"/>
                <w:szCs w:val="20"/>
                <w:lang w:bidi="ar-SA"/>
              </w:rPr>
              <w:t>–</w:t>
            </w:r>
          </w:p>
        </w:tc>
        <w:tc>
          <w:tcPr>
            <w:tcW w:w="1399"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8 181,72</w:t>
            </w:r>
          </w:p>
        </w:tc>
        <w:tc>
          <w:tcPr>
            <w:tcW w:w="128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ascii="Times New Roman" w:eastAsia="Times New Roman" w:hAnsi="Times New Roman" w:cs="Times New Roman"/>
                <w:sz w:val="16"/>
                <w:szCs w:val="20"/>
                <w:lang w:bidi="ar-SA"/>
              </w:rPr>
            </w:pPr>
            <w:r>
              <w:rPr>
                <w:rFonts w:ascii="Times New Roman" w:eastAsia="Times New Roman" w:hAnsi="Times New Roman" w:cs="Times New Roman"/>
                <w:sz w:val="16"/>
                <w:szCs w:val="20"/>
                <w:lang w:bidi="ar-SA"/>
              </w:rPr>
              <w:t>–</w:t>
            </w:r>
          </w:p>
        </w:tc>
        <w:tc>
          <w:tcPr>
            <w:tcW w:w="1195"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11 070 100,00</w:t>
            </w:r>
          </w:p>
        </w:tc>
        <w:tc>
          <w:tcPr>
            <w:tcW w:w="167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ascii="Times New Roman" w:eastAsia="Times New Roman" w:hAnsi="Times New Roman" w:cs="Times New Roman"/>
                <w:sz w:val="16"/>
                <w:szCs w:val="20"/>
                <w:lang w:bidi="ar-SA"/>
              </w:rPr>
            </w:pPr>
            <w:r>
              <w:rPr>
                <w:rFonts w:ascii="Times New Roman" w:eastAsia="Times New Roman" w:hAnsi="Times New Roman" w:cs="Times New Roman"/>
                <w:sz w:val="16"/>
                <w:szCs w:val="20"/>
                <w:lang w:bidi="ar-SA"/>
              </w:rPr>
              <w:t>–</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ascii="Times New Roman" w:eastAsia="Times New Roman" w:hAnsi="Times New Roman" w:cs="Times New Roman"/>
                <w:sz w:val="16"/>
                <w:szCs w:val="20"/>
                <w:lang w:bidi="ar-SA"/>
              </w:rPr>
            </w:pPr>
            <w:r>
              <w:rPr>
                <w:rFonts w:ascii="Times New Roman" w:eastAsia="Times New Roman" w:hAnsi="Times New Roman" w:cs="Times New Roman"/>
                <w:sz w:val="16"/>
                <w:szCs w:val="20"/>
                <w:lang w:bidi="ar-SA"/>
              </w:rPr>
              <w:t>–</w:t>
            </w:r>
          </w:p>
        </w:tc>
        <w:tc>
          <w:tcPr>
            <w:tcW w:w="992"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ascii="Times New Roman" w:eastAsia="Times New Roman" w:hAnsi="Times New Roman" w:cs="Times New Roman"/>
                <w:sz w:val="16"/>
                <w:szCs w:val="20"/>
                <w:lang w:bidi="ar-SA"/>
              </w:rPr>
            </w:pPr>
            <w:r>
              <w:rPr>
                <w:rFonts w:ascii="Times New Roman" w:eastAsia="Times New Roman" w:hAnsi="Times New Roman" w:cs="Times New Roman"/>
                <w:sz w:val="16"/>
                <w:szCs w:val="20"/>
                <w:lang w:bidi="ar-SA"/>
              </w:rPr>
              <w:t>–</w:t>
            </w:r>
          </w:p>
        </w:tc>
        <w:tc>
          <w:tcPr>
            <w:tcW w:w="1560"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ascii="Times New Roman" w:eastAsia="Times New Roman" w:hAnsi="Times New Roman" w:cs="Times New Roman"/>
                <w:sz w:val="16"/>
                <w:szCs w:val="20"/>
                <w:lang w:bidi="ar-SA"/>
              </w:rPr>
            </w:pPr>
            <w:r>
              <w:rPr>
                <w:rFonts w:ascii="Times New Roman" w:eastAsia="Times New Roman" w:hAnsi="Times New Roman" w:cs="Times New Roman"/>
                <w:sz w:val="16"/>
                <w:szCs w:val="20"/>
                <w:lang w:bidi="ar-SA"/>
              </w:rPr>
              <w:t>–</w:t>
            </w:r>
          </w:p>
        </w:tc>
        <w:tc>
          <w:tcPr>
            <w:tcW w:w="1275"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ascii="Times New Roman" w:eastAsia="Times New Roman" w:hAnsi="Times New Roman" w:cs="Times New Roman"/>
                <w:sz w:val="16"/>
                <w:szCs w:val="20"/>
                <w:lang w:bidi="ar-SA"/>
              </w:rPr>
            </w:pPr>
            <w:r>
              <w:rPr>
                <w:rFonts w:ascii="Times New Roman" w:eastAsia="Times New Roman" w:hAnsi="Times New Roman" w:cs="Times New Roman"/>
                <w:sz w:val="16"/>
                <w:szCs w:val="20"/>
                <w:lang w:bidi="ar-SA"/>
              </w:rPr>
              <w:t>–</w:t>
            </w:r>
          </w:p>
        </w:tc>
      </w:tr>
      <w:tr>
        <w:tblPrEx>
          <w:tblW w:w="14752" w:type="dxa"/>
          <w:tblInd w:w="60" w:type="dxa"/>
          <w:tblLayout w:type="fixed"/>
          <w:tblCellMar>
            <w:left w:w="70" w:type="dxa"/>
            <w:right w:w="70" w:type="dxa"/>
          </w:tblCellMar>
          <w:tblLook w:val="04A0"/>
        </w:tblPrEx>
        <w:trPr>
          <w:trHeight w:val="227"/>
        </w:trPr>
        <w:tc>
          <w:tcPr>
            <w:tcW w:w="758"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2025</w:t>
            </w:r>
          </w:p>
        </w:tc>
        <w:tc>
          <w:tcPr>
            <w:tcW w:w="1536"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ascii="Times New Roman" w:eastAsia="Times New Roman" w:hAnsi="Times New Roman" w:cs="Times New Roman"/>
                <w:sz w:val="16"/>
                <w:szCs w:val="20"/>
                <w:lang w:bidi="ar-SA"/>
              </w:rPr>
            </w:pPr>
            <w:r>
              <w:rPr>
                <w:rFonts w:ascii="Times New Roman" w:eastAsia="Times New Roman" w:hAnsi="Times New Roman" w:cs="Times New Roman"/>
                <w:sz w:val="16"/>
                <w:szCs w:val="20"/>
                <w:lang w:bidi="ar-SA"/>
              </w:rPr>
              <w:t>–</w:t>
            </w:r>
          </w:p>
        </w:tc>
        <w:tc>
          <w:tcPr>
            <w:tcW w:w="1378"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8 856,00</w:t>
            </w:r>
          </w:p>
        </w:tc>
        <w:tc>
          <w:tcPr>
            <w:tcW w:w="1399"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ascii="Times New Roman" w:eastAsia="Times New Roman" w:hAnsi="Times New Roman" w:cs="Times New Roman"/>
                <w:sz w:val="16"/>
                <w:szCs w:val="20"/>
                <w:lang w:bidi="ar-SA"/>
              </w:rPr>
            </w:pPr>
            <w:r>
              <w:rPr>
                <w:rFonts w:ascii="Times New Roman" w:eastAsia="Times New Roman" w:hAnsi="Times New Roman" w:cs="Times New Roman"/>
                <w:sz w:val="16"/>
                <w:szCs w:val="20"/>
                <w:lang w:bidi="ar-SA"/>
              </w:rPr>
              <w:t>–</w:t>
            </w:r>
          </w:p>
        </w:tc>
        <w:tc>
          <w:tcPr>
            <w:tcW w:w="128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11 047 000</w:t>
            </w:r>
          </w:p>
        </w:tc>
        <w:tc>
          <w:tcPr>
            <w:tcW w:w="1195"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ascii="Times New Roman" w:eastAsia="Times New Roman" w:hAnsi="Times New Roman" w:cs="Times New Roman"/>
                <w:sz w:val="16"/>
                <w:szCs w:val="20"/>
                <w:lang w:bidi="ar-SA"/>
              </w:rPr>
            </w:pPr>
            <w:r>
              <w:rPr>
                <w:rFonts w:ascii="Times New Roman" w:eastAsia="Times New Roman" w:hAnsi="Times New Roman" w:cs="Times New Roman"/>
                <w:sz w:val="16"/>
                <w:szCs w:val="20"/>
                <w:lang w:bidi="ar-SA"/>
              </w:rPr>
              <w:t>–</w:t>
            </w:r>
          </w:p>
        </w:tc>
        <w:tc>
          <w:tcPr>
            <w:tcW w:w="167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1,371</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16"/>
                <w:szCs w:val="20"/>
                <w:lang w:bidi="ar-SA"/>
              </w:rPr>
            </w:pPr>
            <w:r>
              <w:rPr>
                <w:rFonts w:eastAsia="Times New Roman" w:cs="Times New Roman"/>
                <w:b/>
                <w:sz w:val="16"/>
                <w:szCs w:val="20"/>
                <w:lang w:bidi="ar-SA"/>
              </w:rPr>
              <w:t>7 266 248 081,56</w:t>
            </w:r>
          </w:p>
        </w:tc>
        <w:tc>
          <w:tcPr>
            <w:tcW w:w="992"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8,6%</w:t>
            </w:r>
          </w:p>
        </w:tc>
        <w:tc>
          <w:tcPr>
            <w:tcW w:w="1560"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624 897 335,01</w:t>
            </w:r>
          </w:p>
        </w:tc>
        <w:tc>
          <w:tcPr>
            <w:tcW w:w="1275"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r>
      <w:tr>
        <w:tblPrEx>
          <w:tblW w:w="14752" w:type="dxa"/>
          <w:tblInd w:w="60" w:type="dxa"/>
          <w:tblLayout w:type="fixed"/>
          <w:tblCellMar>
            <w:left w:w="70" w:type="dxa"/>
            <w:right w:w="70" w:type="dxa"/>
          </w:tblCellMar>
          <w:tblLook w:val="04A0"/>
        </w:tblPrEx>
        <w:trPr>
          <w:trHeight w:val="227"/>
        </w:trPr>
        <w:tc>
          <w:tcPr>
            <w:tcW w:w="758"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2026</w:t>
            </w:r>
          </w:p>
        </w:tc>
        <w:tc>
          <w:tcPr>
            <w:tcW w:w="1536"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ascii="Times New Roman" w:eastAsia="Times New Roman" w:hAnsi="Times New Roman" w:cs="Times New Roman"/>
                <w:sz w:val="16"/>
                <w:szCs w:val="20"/>
                <w:lang w:bidi="ar-SA"/>
              </w:rPr>
            </w:pPr>
            <w:r>
              <w:rPr>
                <w:rFonts w:ascii="Times New Roman" w:eastAsia="Times New Roman" w:hAnsi="Times New Roman" w:cs="Times New Roman"/>
                <w:sz w:val="16"/>
                <w:szCs w:val="20"/>
                <w:lang w:bidi="ar-SA"/>
              </w:rPr>
              <w:t>–</w:t>
            </w:r>
          </w:p>
        </w:tc>
        <w:tc>
          <w:tcPr>
            <w:tcW w:w="1378"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9 420,00</w:t>
            </w:r>
          </w:p>
        </w:tc>
        <w:tc>
          <w:tcPr>
            <w:tcW w:w="1399"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ascii="Times New Roman" w:eastAsia="Times New Roman" w:hAnsi="Times New Roman" w:cs="Times New Roman"/>
                <w:sz w:val="16"/>
                <w:szCs w:val="20"/>
                <w:lang w:bidi="ar-SA"/>
              </w:rPr>
            </w:pPr>
            <w:r>
              <w:rPr>
                <w:rFonts w:ascii="Times New Roman" w:eastAsia="Times New Roman" w:hAnsi="Times New Roman" w:cs="Times New Roman"/>
                <w:sz w:val="16"/>
                <w:szCs w:val="20"/>
                <w:lang w:bidi="ar-SA"/>
              </w:rPr>
              <w:t>–</w:t>
            </w:r>
          </w:p>
        </w:tc>
        <w:tc>
          <w:tcPr>
            <w:tcW w:w="128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11 051 000</w:t>
            </w:r>
          </w:p>
        </w:tc>
        <w:tc>
          <w:tcPr>
            <w:tcW w:w="1195"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ascii="Times New Roman" w:eastAsia="Times New Roman" w:hAnsi="Times New Roman" w:cs="Times New Roman"/>
                <w:sz w:val="16"/>
                <w:szCs w:val="20"/>
                <w:lang w:bidi="ar-SA"/>
              </w:rPr>
            </w:pPr>
            <w:r>
              <w:rPr>
                <w:rFonts w:ascii="Times New Roman" w:eastAsia="Times New Roman" w:hAnsi="Times New Roman" w:cs="Times New Roman"/>
                <w:sz w:val="16"/>
                <w:szCs w:val="20"/>
                <w:lang w:bidi="ar-SA"/>
              </w:rPr>
              <w:t>–</w:t>
            </w:r>
          </w:p>
        </w:tc>
        <w:tc>
          <w:tcPr>
            <w:tcW w:w="167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1,149</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7 919 821 212,43</w:t>
            </w:r>
          </w:p>
        </w:tc>
        <w:tc>
          <w:tcPr>
            <w:tcW w:w="992"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8,6%</w:t>
            </w:r>
          </w:p>
        </w:tc>
        <w:tc>
          <w:tcPr>
            <w:tcW w:w="1560"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681 104 624,27</w:t>
            </w:r>
          </w:p>
        </w:tc>
        <w:tc>
          <w:tcPr>
            <w:tcW w:w="1275"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56 207 289,26</w:t>
            </w:r>
          </w:p>
        </w:tc>
      </w:tr>
      <w:tr>
        <w:tblPrEx>
          <w:tblW w:w="14752" w:type="dxa"/>
          <w:tblInd w:w="60" w:type="dxa"/>
          <w:tblLayout w:type="fixed"/>
          <w:tblCellMar>
            <w:left w:w="70" w:type="dxa"/>
            <w:right w:w="70" w:type="dxa"/>
          </w:tblCellMar>
          <w:tblLook w:val="04A0"/>
        </w:tblPrEx>
        <w:trPr>
          <w:trHeight w:val="227"/>
        </w:trPr>
        <w:tc>
          <w:tcPr>
            <w:tcW w:w="758"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2027</w:t>
            </w:r>
          </w:p>
        </w:tc>
        <w:tc>
          <w:tcPr>
            <w:tcW w:w="1536"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ascii="Times New Roman" w:eastAsia="Times New Roman" w:hAnsi="Times New Roman" w:cs="Times New Roman"/>
                <w:sz w:val="16"/>
                <w:szCs w:val="20"/>
                <w:lang w:bidi="ar-SA"/>
              </w:rPr>
            </w:pPr>
            <w:r>
              <w:rPr>
                <w:rFonts w:ascii="Times New Roman" w:eastAsia="Times New Roman" w:hAnsi="Times New Roman" w:cs="Times New Roman"/>
                <w:sz w:val="16"/>
                <w:szCs w:val="20"/>
                <w:lang w:bidi="ar-SA"/>
              </w:rPr>
              <w:t>–</w:t>
            </w:r>
          </w:p>
        </w:tc>
        <w:tc>
          <w:tcPr>
            <w:tcW w:w="1378"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10 006,00</w:t>
            </w:r>
          </w:p>
        </w:tc>
        <w:tc>
          <w:tcPr>
            <w:tcW w:w="1399"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ascii="Times New Roman" w:eastAsia="Times New Roman" w:hAnsi="Times New Roman" w:cs="Times New Roman"/>
                <w:sz w:val="16"/>
                <w:szCs w:val="20"/>
                <w:lang w:bidi="ar-SA"/>
              </w:rPr>
            </w:pPr>
            <w:r>
              <w:rPr>
                <w:rFonts w:ascii="Times New Roman" w:eastAsia="Times New Roman" w:hAnsi="Times New Roman" w:cs="Times New Roman"/>
                <w:sz w:val="16"/>
                <w:szCs w:val="20"/>
                <w:lang w:bidi="ar-SA"/>
              </w:rPr>
              <w:t>–</w:t>
            </w:r>
          </w:p>
        </w:tc>
        <w:tc>
          <w:tcPr>
            <w:tcW w:w="128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11 048 000</w:t>
            </w:r>
          </w:p>
        </w:tc>
        <w:tc>
          <w:tcPr>
            <w:tcW w:w="1195"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ascii="Times New Roman" w:eastAsia="Times New Roman" w:hAnsi="Times New Roman" w:cs="Times New Roman"/>
                <w:sz w:val="16"/>
                <w:szCs w:val="20"/>
                <w:lang w:bidi="ar-SA"/>
              </w:rPr>
            </w:pPr>
            <w:r>
              <w:rPr>
                <w:rFonts w:ascii="Times New Roman" w:eastAsia="Times New Roman" w:hAnsi="Times New Roman" w:cs="Times New Roman"/>
                <w:sz w:val="16"/>
                <w:szCs w:val="20"/>
                <w:lang w:bidi="ar-SA"/>
              </w:rPr>
              <w:t>–</w:t>
            </w:r>
          </w:p>
        </w:tc>
        <w:tc>
          <w:tcPr>
            <w:tcW w:w="167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1,221</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8 416 102 437,23</w:t>
            </w:r>
          </w:p>
        </w:tc>
        <w:tc>
          <w:tcPr>
            <w:tcW w:w="992"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8,6%</w:t>
            </w:r>
          </w:p>
        </w:tc>
        <w:tc>
          <w:tcPr>
            <w:tcW w:w="1560"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723 784 809,60</w:t>
            </w:r>
          </w:p>
        </w:tc>
        <w:tc>
          <w:tcPr>
            <w:tcW w:w="1275"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42 680 185,33</w:t>
            </w:r>
          </w:p>
        </w:tc>
      </w:tr>
      <w:tr>
        <w:tblPrEx>
          <w:tblW w:w="14752" w:type="dxa"/>
          <w:tblInd w:w="60" w:type="dxa"/>
          <w:tblLayout w:type="fixed"/>
          <w:tblCellMar>
            <w:left w:w="70" w:type="dxa"/>
            <w:right w:w="70" w:type="dxa"/>
          </w:tblCellMar>
          <w:tblLook w:val="04A0"/>
        </w:tblPrEx>
        <w:trPr>
          <w:trHeight w:val="227"/>
        </w:trPr>
        <w:tc>
          <w:tcPr>
            <w:tcW w:w="758"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2028</w:t>
            </w:r>
          </w:p>
        </w:tc>
        <w:tc>
          <w:tcPr>
            <w:tcW w:w="1536"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ascii="Times New Roman" w:eastAsia="Times New Roman" w:hAnsi="Times New Roman" w:cs="Times New Roman"/>
                <w:sz w:val="16"/>
                <w:szCs w:val="20"/>
                <w:lang w:bidi="ar-SA"/>
              </w:rPr>
            </w:pPr>
            <w:r>
              <w:rPr>
                <w:rFonts w:ascii="Times New Roman" w:eastAsia="Times New Roman" w:hAnsi="Times New Roman" w:cs="Times New Roman"/>
                <w:sz w:val="16"/>
                <w:szCs w:val="20"/>
                <w:lang w:bidi="ar-SA"/>
              </w:rPr>
              <w:t>–</w:t>
            </w:r>
          </w:p>
        </w:tc>
        <w:tc>
          <w:tcPr>
            <w:tcW w:w="1378"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10 628,00</w:t>
            </w:r>
          </w:p>
        </w:tc>
        <w:tc>
          <w:tcPr>
            <w:tcW w:w="1399"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ascii="Times New Roman" w:eastAsia="Times New Roman" w:hAnsi="Times New Roman" w:cs="Times New Roman"/>
                <w:sz w:val="16"/>
                <w:szCs w:val="20"/>
                <w:lang w:bidi="ar-SA"/>
              </w:rPr>
            </w:pPr>
            <w:r>
              <w:rPr>
                <w:rFonts w:ascii="Times New Roman" w:eastAsia="Times New Roman" w:hAnsi="Times New Roman" w:cs="Times New Roman"/>
                <w:sz w:val="16"/>
                <w:szCs w:val="20"/>
                <w:lang w:bidi="ar-SA"/>
              </w:rPr>
              <w:t>–</w:t>
            </w:r>
          </w:p>
        </w:tc>
        <w:tc>
          <w:tcPr>
            <w:tcW w:w="128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11 037 000</w:t>
            </w:r>
          </w:p>
        </w:tc>
        <w:tc>
          <w:tcPr>
            <w:tcW w:w="1195"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ascii="Times New Roman" w:eastAsia="Times New Roman" w:hAnsi="Times New Roman" w:cs="Times New Roman"/>
                <w:sz w:val="16"/>
                <w:szCs w:val="20"/>
                <w:lang w:bidi="ar-SA"/>
              </w:rPr>
            </w:pPr>
            <w:r>
              <w:rPr>
                <w:rFonts w:ascii="Times New Roman" w:eastAsia="Times New Roman" w:hAnsi="Times New Roman" w:cs="Times New Roman"/>
                <w:sz w:val="16"/>
                <w:szCs w:val="20"/>
                <w:lang w:bidi="ar-SA"/>
              </w:rPr>
              <w:t>–</w:t>
            </w:r>
          </w:p>
        </w:tc>
        <w:tc>
          <w:tcPr>
            <w:tcW w:w="167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1,295</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8 926 169 251,61</w:t>
            </w:r>
          </w:p>
        </w:tc>
        <w:tc>
          <w:tcPr>
            <w:tcW w:w="992"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8,6%</w:t>
            </w:r>
          </w:p>
        </w:tc>
        <w:tc>
          <w:tcPr>
            <w:tcW w:w="1560"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767 650 555,64</w:t>
            </w:r>
          </w:p>
        </w:tc>
        <w:tc>
          <w:tcPr>
            <w:tcW w:w="1275"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43 865 746,04</w:t>
            </w:r>
          </w:p>
        </w:tc>
      </w:tr>
      <w:tr>
        <w:tblPrEx>
          <w:tblW w:w="14752" w:type="dxa"/>
          <w:tblInd w:w="60" w:type="dxa"/>
          <w:tblLayout w:type="fixed"/>
          <w:tblCellMar>
            <w:left w:w="70" w:type="dxa"/>
            <w:right w:w="70" w:type="dxa"/>
          </w:tblCellMar>
          <w:tblLook w:val="04A0"/>
        </w:tblPrEx>
        <w:trPr>
          <w:trHeight w:val="227"/>
        </w:trPr>
        <w:tc>
          <w:tcPr>
            <w:tcW w:w="758"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2029</w:t>
            </w:r>
          </w:p>
        </w:tc>
        <w:tc>
          <w:tcPr>
            <w:tcW w:w="1536"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ascii="Times New Roman" w:eastAsia="Times New Roman" w:hAnsi="Times New Roman" w:cs="Times New Roman"/>
                <w:sz w:val="16"/>
                <w:szCs w:val="20"/>
                <w:lang w:bidi="ar-SA"/>
              </w:rPr>
            </w:pPr>
            <w:r>
              <w:rPr>
                <w:rFonts w:ascii="Times New Roman" w:eastAsia="Times New Roman" w:hAnsi="Times New Roman" w:cs="Times New Roman"/>
                <w:sz w:val="16"/>
                <w:szCs w:val="20"/>
                <w:lang w:bidi="ar-SA"/>
              </w:rPr>
              <w:t>–</w:t>
            </w:r>
          </w:p>
        </w:tc>
        <w:tc>
          <w:tcPr>
            <w:tcW w:w="1378"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11 269,00</w:t>
            </w:r>
          </w:p>
        </w:tc>
        <w:tc>
          <w:tcPr>
            <w:tcW w:w="1399"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ascii="Times New Roman" w:eastAsia="Times New Roman" w:hAnsi="Times New Roman" w:cs="Times New Roman"/>
                <w:sz w:val="16"/>
                <w:szCs w:val="20"/>
                <w:lang w:bidi="ar-SA"/>
              </w:rPr>
            </w:pPr>
            <w:r>
              <w:rPr>
                <w:rFonts w:ascii="Times New Roman" w:eastAsia="Times New Roman" w:hAnsi="Times New Roman" w:cs="Times New Roman"/>
                <w:sz w:val="16"/>
                <w:szCs w:val="20"/>
                <w:lang w:bidi="ar-SA"/>
              </w:rPr>
              <w:t>–</w:t>
            </w:r>
          </w:p>
        </w:tc>
        <w:tc>
          <w:tcPr>
            <w:tcW w:w="128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11 030 000</w:t>
            </w:r>
          </w:p>
        </w:tc>
        <w:tc>
          <w:tcPr>
            <w:tcW w:w="1195"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ascii="Times New Roman" w:eastAsia="Times New Roman" w:hAnsi="Times New Roman" w:cs="Times New Roman"/>
                <w:sz w:val="16"/>
                <w:szCs w:val="20"/>
                <w:lang w:bidi="ar-SA"/>
              </w:rPr>
            </w:pPr>
            <w:r>
              <w:rPr>
                <w:rFonts w:ascii="Times New Roman" w:eastAsia="Times New Roman" w:hAnsi="Times New Roman" w:cs="Times New Roman"/>
                <w:sz w:val="16"/>
                <w:szCs w:val="20"/>
                <w:lang w:bidi="ar-SA"/>
              </w:rPr>
              <w:t>–</w:t>
            </w:r>
          </w:p>
        </w:tc>
        <w:tc>
          <w:tcPr>
            <w:tcW w:w="167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1,372</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9 456 914 450,36</w:t>
            </w:r>
          </w:p>
        </w:tc>
        <w:tc>
          <w:tcPr>
            <w:tcW w:w="992"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8,6%</w:t>
            </w:r>
          </w:p>
        </w:tc>
        <w:tc>
          <w:tcPr>
            <w:tcW w:w="1560"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813 294 642,73</w:t>
            </w:r>
          </w:p>
        </w:tc>
        <w:tc>
          <w:tcPr>
            <w:tcW w:w="1275"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45 644 087,09</w:t>
            </w:r>
          </w:p>
        </w:tc>
      </w:tr>
    </w:tbl>
    <w:p>
      <w:pPr>
        <w:keepNext w:val="0"/>
        <w:keepLines w:val="0"/>
        <w:widowControl/>
        <w:suppressLineNumbers w:val="0"/>
        <w:shd w:val="clear" w:color="auto" w:fill="auto"/>
        <w:suppressAutoHyphens w:val="0"/>
        <w:spacing w:before="24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 xml:space="preserve">W kolejnych latach analizy (2030-2046) przyjęto przyrost zgodny z dynamiką określoną w wytycznych dotyczących stosowania jednolitych wskaźników makroekonomicznych, będących podstawą oszacowania skutków finansowych projektowanych ustaw, tj. na poziomie prezentowanego wskaźnika dynamiki średniorocznej cen towarów i usług konsumpcyjnych (CPI). </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b/>
          <w:szCs w:val="20"/>
          <w:lang w:bidi="ar-SA"/>
        </w:rPr>
      </w:pPr>
      <w:r>
        <w:rPr>
          <w:rFonts w:eastAsia="Times New Roman" w:cs="Times New Roman"/>
          <w:b/>
          <w:szCs w:val="20"/>
          <w:lang w:bidi="ar-SA"/>
        </w:rPr>
        <w:t>1.1.2. Udział w podatku dochodowym od osób prawnych (CIT)</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Wysokość udziału we wpływach z podatku dochodowego od osób prawnych w 2026 r. przyjęto w wartościach ustalonych przez MF w informacji nr ST3.4750.27.2025 z 14 października 2025 r.</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Jednocześnie udział w podatku dochodowym od osób prawnych na lata 2027-2029 wyliczono zgodnie z art. 12 ustawy, bazując na podanej w ww. zawiadomieniu kwocie dochodów podatników tego podatku mających siedzibę na terenie Bytomia za rok 2024 (ostatnia zwaloryzowana baza przez MF – art. 13 ustawy).</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Do szacowania przyjęto również określoną w art. 12 ust. 2 ustawy metodę kalkulacji opartą o waloryzację, bazując na wytycznych MF w założeniach projektu budżetu państwa na rok 2026 w zakresie produktu krajowego brutto oraz danych GUS w tym zakresie za rok 2024, otrzymując dane na lata 2027-2029.</w:t>
      </w:r>
    </w:p>
    <w:tbl>
      <w:tblPr>
        <w:tblStyle w:val="TableNormal"/>
        <w:tblW w:w="0" w:type="auto"/>
        <w:jc w:val="center"/>
        <w:tblLayout w:type="fixed"/>
        <w:tblCellMar>
          <w:left w:w="70" w:type="dxa"/>
          <w:right w:w="70" w:type="dxa"/>
        </w:tblCellMar>
        <w:tblLook w:val="04A0"/>
      </w:tblPr>
      <w:tblGrid>
        <w:gridCol w:w="1659"/>
        <w:gridCol w:w="1660"/>
        <w:gridCol w:w="1659"/>
        <w:gridCol w:w="1660"/>
        <w:gridCol w:w="1659"/>
        <w:gridCol w:w="1660"/>
        <w:gridCol w:w="1659"/>
        <w:gridCol w:w="1660"/>
        <w:gridCol w:w="1660"/>
      </w:tblGrid>
      <w:tr>
        <w:tblPrEx>
          <w:tblW w:w="0" w:type="auto"/>
          <w:jc w:val="center"/>
          <w:tblLayout w:type="fixed"/>
          <w:tblCellMar>
            <w:left w:w="70" w:type="dxa"/>
            <w:right w:w="70" w:type="dxa"/>
          </w:tblCellMar>
          <w:tblLook w:val="04A0"/>
        </w:tblPrEx>
        <w:trPr>
          <w:trHeight w:val="227"/>
          <w:jc w:val="center"/>
        </w:trPr>
        <w:tc>
          <w:tcPr>
            <w:tcW w:w="1659" w:type="dxa"/>
            <w:tcBorders>
              <w:top w:val="single" w:sz="8" w:space="0" w:color="auto"/>
              <w:left w:val="single" w:sz="8"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br w:type="page"/>
              <w:t>Rok</w:t>
            </w:r>
          </w:p>
        </w:tc>
        <w:tc>
          <w:tcPr>
            <w:tcW w:w="1660" w:type="dxa"/>
            <w:tcBorders>
              <w:top w:val="single" w:sz="8" w:space="0" w:color="auto"/>
              <w:left w:val="nil"/>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baza- dochody podatników CIT w roku n</w:t>
            </w:r>
          </w:p>
        </w:tc>
        <w:tc>
          <w:tcPr>
            <w:tcW w:w="1659" w:type="dxa"/>
            <w:tcBorders>
              <w:top w:val="single" w:sz="8" w:space="0" w:color="auto"/>
              <w:left w:val="nil"/>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Prognoza MF PKB</w:t>
            </w:r>
          </w:p>
        </w:tc>
        <w:tc>
          <w:tcPr>
            <w:tcW w:w="1660" w:type="dxa"/>
            <w:tcBorders>
              <w:top w:val="single" w:sz="8" w:space="0" w:color="auto"/>
              <w:left w:val="nil"/>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PKB 30.06</w:t>
            </w:r>
          </w:p>
        </w:tc>
        <w:tc>
          <w:tcPr>
            <w:tcW w:w="1659" w:type="dxa"/>
            <w:tcBorders>
              <w:top w:val="single" w:sz="8" w:space="0" w:color="auto"/>
              <w:left w:val="nil"/>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Współczynnik waloryzacji</w:t>
            </w:r>
          </w:p>
        </w:tc>
        <w:tc>
          <w:tcPr>
            <w:tcW w:w="1660" w:type="dxa"/>
            <w:tcBorders>
              <w:top w:val="single" w:sz="8" w:space="0" w:color="auto"/>
              <w:left w:val="nil"/>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zwaloryzowana baza</w:t>
            </w:r>
          </w:p>
        </w:tc>
        <w:tc>
          <w:tcPr>
            <w:tcW w:w="1659" w:type="dxa"/>
            <w:tcBorders>
              <w:top w:val="single" w:sz="8" w:space="0" w:color="auto"/>
              <w:left w:val="nil"/>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w:t>
            </w:r>
          </w:p>
        </w:tc>
        <w:tc>
          <w:tcPr>
            <w:tcW w:w="1660" w:type="dxa"/>
            <w:tcBorders>
              <w:top w:val="single" w:sz="8" w:space="0" w:color="auto"/>
              <w:left w:val="nil"/>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D(CIT)</w:t>
            </w:r>
          </w:p>
        </w:tc>
        <w:tc>
          <w:tcPr>
            <w:tcW w:w="1660" w:type="dxa"/>
            <w:tcBorders>
              <w:top w:val="single" w:sz="8" w:space="0" w:color="auto"/>
              <w:left w:val="nil"/>
              <w:bottom w:val="single" w:sz="4" w:space="0" w:color="auto"/>
              <w:right w:val="single" w:sz="8"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Przyrost/spadek</w:t>
            </w:r>
          </w:p>
        </w:tc>
      </w:tr>
      <w:tr>
        <w:tblPrEx>
          <w:tblW w:w="0" w:type="auto"/>
          <w:jc w:val="center"/>
          <w:tblLayout w:type="fixed"/>
          <w:tblCellMar>
            <w:left w:w="70" w:type="dxa"/>
            <w:right w:w="70" w:type="dxa"/>
          </w:tblCellMar>
          <w:tblLook w:val="04A0"/>
        </w:tblPrEx>
        <w:trPr>
          <w:trHeight w:val="227"/>
          <w:jc w:val="center"/>
        </w:trPr>
        <w:tc>
          <w:tcPr>
            <w:tcW w:w="1659" w:type="dxa"/>
            <w:tcBorders>
              <w:top w:val="nil"/>
              <w:left w:val="single" w:sz="8" w:space="0" w:color="auto"/>
              <w:bottom w:val="single" w:sz="8"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(1)</w:t>
            </w:r>
          </w:p>
        </w:tc>
        <w:tc>
          <w:tcPr>
            <w:tcW w:w="1660" w:type="dxa"/>
            <w:tcBorders>
              <w:top w:val="nil"/>
              <w:left w:val="nil"/>
              <w:bottom w:val="single" w:sz="8"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w:t>
            </w:r>
          </w:p>
        </w:tc>
        <w:tc>
          <w:tcPr>
            <w:tcW w:w="1659" w:type="dxa"/>
            <w:tcBorders>
              <w:top w:val="nil"/>
              <w:left w:val="nil"/>
              <w:bottom w:val="single" w:sz="8"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(3)</w:t>
            </w:r>
          </w:p>
        </w:tc>
        <w:tc>
          <w:tcPr>
            <w:tcW w:w="1660" w:type="dxa"/>
            <w:tcBorders>
              <w:top w:val="nil"/>
              <w:left w:val="nil"/>
              <w:bottom w:val="single" w:sz="8"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(4)</w:t>
            </w:r>
          </w:p>
        </w:tc>
        <w:tc>
          <w:tcPr>
            <w:tcW w:w="1659" w:type="dxa"/>
            <w:tcBorders>
              <w:top w:val="nil"/>
              <w:left w:val="nil"/>
              <w:bottom w:val="single" w:sz="8"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(5)=(3)/(4)</w:t>
            </w:r>
          </w:p>
        </w:tc>
        <w:tc>
          <w:tcPr>
            <w:tcW w:w="1660" w:type="dxa"/>
            <w:tcBorders>
              <w:top w:val="nil"/>
              <w:left w:val="nil"/>
              <w:bottom w:val="single" w:sz="8"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(6)=(2)*(5)</w:t>
            </w:r>
          </w:p>
        </w:tc>
        <w:tc>
          <w:tcPr>
            <w:tcW w:w="1659" w:type="dxa"/>
            <w:tcBorders>
              <w:top w:val="nil"/>
              <w:left w:val="nil"/>
              <w:bottom w:val="single" w:sz="8"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(7)</w:t>
            </w:r>
          </w:p>
        </w:tc>
        <w:tc>
          <w:tcPr>
            <w:tcW w:w="1660" w:type="dxa"/>
            <w:tcBorders>
              <w:top w:val="nil"/>
              <w:left w:val="nil"/>
              <w:bottom w:val="single" w:sz="8"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(8)=(6)*(7)</w:t>
            </w:r>
          </w:p>
        </w:tc>
        <w:tc>
          <w:tcPr>
            <w:tcW w:w="1660" w:type="dxa"/>
            <w:tcBorders>
              <w:top w:val="nil"/>
              <w:left w:val="nil"/>
              <w:bottom w:val="single" w:sz="8" w:space="0" w:color="auto"/>
              <w:right w:val="single" w:sz="8"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(9)</w:t>
            </w:r>
          </w:p>
        </w:tc>
      </w:tr>
      <w:tr>
        <w:tblPrEx>
          <w:tblW w:w="0" w:type="auto"/>
          <w:jc w:val="center"/>
          <w:tblLayout w:type="fixed"/>
          <w:tblCellMar>
            <w:left w:w="70" w:type="dxa"/>
            <w:right w:w="70" w:type="dxa"/>
          </w:tblCellMar>
          <w:tblLook w:val="04A0"/>
        </w:tblPrEx>
        <w:trPr>
          <w:trHeight w:val="227"/>
          <w:jc w:val="center"/>
        </w:trPr>
        <w:tc>
          <w:tcPr>
            <w:tcW w:w="1659" w:type="dxa"/>
            <w:tcBorders>
              <w:top w:val="nil"/>
              <w:left w:val="single" w:sz="8"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2022</w:t>
            </w:r>
          </w:p>
        </w:tc>
        <w:tc>
          <w:tcPr>
            <w:tcW w:w="1660" w:type="dxa"/>
            <w:tcBorders>
              <w:top w:val="nil"/>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471 178 363,00</w:t>
            </w:r>
          </w:p>
        </w:tc>
        <w:tc>
          <w:tcPr>
            <w:tcW w:w="1659" w:type="dxa"/>
            <w:tcBorders>
              <w:top w:val="nil"/>
              <w:left w:val="nil"/>
              <w:bottom w:val="single" w:sz="4" w:space="0" w:color="auto"/>
              <w:right w:val="single" w:sz="4" w:space="0" w:color="auto"/>
            </w:tcBorders>
            <w:shd w:val="clear" w:color="969696" w:fill="A5A5A5"/>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w:t>
            </w:r>
          </w:p>
        </w:tc>
        <w:tc>
          <w:tcPr>
            <w:tcW w:w="1660" w:type="dxa"/>
            <w:tcBorders>
              <w:top w:val="nil"/>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3 067,50</w:t>
            </w:r>
          </w:p>
        </w:tc>
        <w:tc>
          <w:tcPr>
            <w:tcW w:w="1659" w:type="dxa"/>
            <w:tcBorders>
              <w:top w:val="nil"/>
              <w:left w:val="nil"/>
              <w:bottom w:val="single" w:sz="4" w:space="0" w:color="auto"/>
              <w:right w:val="single" w:sz="4" w:space="0" w:color="auto"/>
            </w:tcBorders>
            <w:shd w:val="clear" w:color="969696" w:fill="A5A5A5"/>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w:t>
            </w:r>
          </w:p>
        </w:tc>
        <w:tc>
          <w:tcPr>
            <w:tcW w:w="1660" w:type="dxa"/>
            <w:tcBorders>
              <w:top w:val="nil"/>
              <w:left w:val="nil"/>
              <w:bottom w:val="single" w:sz="4" w:space="0" w:color="auto"/>
              <w:right w:val="single" w:sz="4" w:space="0" w:color="auto"/>
            </w:tcBorders>
            <w:shd w:val="clear" w:color="B7DEE8" w:fill="B8CCE4"/>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lang w:bidi="ar-SA"/>
              </w:rPr>
            </w:pPr>
          </w:p>
        </w:tc>
        <w:tc>
          <w:tcPr>
            <w:tcW w:w="1659" w:type="dxa"/>
            <w:tcBorders>
              <w:top w:val="nil"/>
              <w:left w:val="nil"/>
              <w:bottom w:val="single" w:sz="4" w:space="0" w:color="auto"/>
              <w:right w:val="single" w:sz="4" w:space="0" w:color="auto"/>
            </w:tcBorders>
            <w:shd w:val="clear" w:color="969696" w:fill="A5A5A5"/>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w:t>
            </w:r>
          </w:p>
        </w:tc>
        <w:tc>
          <w:tcPr>
            <w:tcW w:w="1660" w:type="dxa"/>
            <w:tcBorders>
              <w:top w:val="nil"/>
              <w:left w:val="nil"/>
              <w:bottom w:val="single" w:sz="4" w:space="0" w:color="auto"/>
              <w:right w:val="single" w:sz="4" w:space="0" w:color="auto"/>
            </w:tcBorders>
            <w:shd w:val="clear" w:color="969696" w:fill="A5A5A5"/>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w:t>
            </w:r>
          </w:p>
        </w:tc>
        <w:tc>
          <w:tcPr>
            <w:tcW w:w="1660" w:type="dxa"/>
            <w:tcBorders>
              <w:top w:val="nil"/>
              <w:left w:val="nil"/>
              <w:bottom w:val="single" w:sz="4" w:space="0" w:color="auto"/>
              <w:right w:val="single" w:sz="8" w:space="0" w:color="auto"/>
            </w:tcBorders>
            <w:shd w:val="clear" w:color="969696" w:fill="A5A5A5"/>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w:t>
            </w:r>
          </w:p>
        </w:tc>
      </w:tr>
      <w:tr>
        <w:tblPrEx>
          <w:tblW w:w="0" w:type="auto"/>
          <w:jc w:val="center"/>
          <w:tblLayout w:type="fixed"/>
          <w:tblCellMar>
            <w:left w:w="70" w:type="dxa"/>
            <w:right w:w="70" w:type="dxa"/>
          </w:tblCellMar>
          <w:tblLook w:val="04A0"/>
        </w:tblPrEx>
        <w:trPr>
          <w:trHeight w:val="227"/>
          <w:jc w:val="center"/>
        </w:trPr>
        <w:tc>
          <w:tcPr>
            <w:tcW w:w="1659" w:type="dxa"/>
            <w:tcBorders>
              <w:top w:val="nil"/>
              <w:left w:val="single" w:sz="8" w:space="0" w:color="auto"/>
              <w:bottom w:val="single" w:sz="4" w:space="0" w:color="auto"/>
              <w:right w:val="single" w:sz="4" w:space="0" w:color="auto"/>
            </w:tcBorders>
            <w:shd w:val="clear" w:color="C0C0C0" w:fill="BFBFB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2023</w:t>
            </w:r>
          </w:p>
        </w:tc>
        <w:tc>
          <w:tcPr>
            <w:tcW w:w="1660" w:type="dxa"/>
            <w:tcBorders>
              <w:top w:val="nil"/>
              <w:left w:val="nil"/>
              <w:bottom w:val="single" w:sz="4" w:space="0" w:color="auto"/>
              <w:right w:val="single" w:sz="4" w:space="0" w:color="auto"/>
            </w:tcBorders>
            <w:shd w:val="clear" w:color="C0C0C0" w:fill="BFBFB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w:t>
            </w:r>
          </w:p>
        </w:tc>
        <w:tc>
          <w:tcPr>
            <w:tcW w:w="1659" w:type="dxa"/>
            <w:tcBorders>
              <w:top w:val="nil"/>
              <w:left w:val="nil"/>
              <w:bottom w:val="single" w:sz="4" w:space="0" w:color="auto"/>
              <w:right w:val="single" w:sz="4" w:space="0" w:color="auto"/>
            </w:tcBorders>
            <w:shd w:val="clear" w:color="C0C0C0" w:fill="BFBFB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w:t>
            </w:r>
          </w:p>
        </w:tc>
        <w:tc>
          <w:tcPr>
            <w:tcW w:w="1660" w:type="dxa"/>
            <w:tcBorders>
              <w:top w:val="nil"/>
              <w:left w:val="nil"/>
              <w:bottom w:val="single" w:sz="4" w:space="0" w:color="auto"/>
              <w:right w:val="single" w:sz="4" w:space="0" w:color="auto"/>
            </w:tcBorders>
            <w:shd w:val="clear" w:color="C0C0C0" w:fill="BFBFB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w:t>
            </w:r>
          </w:p>
        </w:tc>
        <w:tc>
          <w:tcPr>
            <w:tcW w:w="1659" w:type="dxa"/>
            <w:tcBorders>
              <w:top w:val="nil"/>
              <w:left w:val="nil"/>
              <w:bottom w:val="single" w:sz="4" w:space="0" w:color="auto"/>
              <w:right w:val="single" w:sz="4" w:space="0" w:color="auto"/>
            </w:tcBorders>
            <w:shd w:val="clear" w:color="C0C0C0" w:fill="BFBFB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w:t>
            </w:r>
          </w:p>
        </w:tc>
        <w:tc>
          <w:tcPr>
            <w:tcW w:w="1660" w:type="dxa"/>
            <w:tcBorders>
              <w:top w:val="nil"/>
              <w:left w:val="nil"/>
              <w:bottom w:val="single" w:sz="4" w:space="0" w:color="auto"/>
              <w:right w:val="single" w:sz="4" w:space="0" w:color="auto"/>
            </w:tcBorders>
            <w:shd w:val="clear" w:color="C0C0C0" w:fill="BFBFB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w:t>
            </w:r>
          </w:p>
        </w:tc>
        <w:tc>
          <w:tcPr>
            <w:tcW w:w="1659" w:type="dxa"/>
            <w:tcBorders>
              <w:top w:val="nil"/>
              <w:left w:val="nil"/>
              <w:bottom w:val="single" w:sz="4" w:space="0" w:color="auto"/>
              <w:right w:val="single" w:sz="4" w:space="0" w:color="auto"/>
            </w:tcBorders>
            <w:shd w:val="clear" w:color="C0C0C0" w:fill="BFBFB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w:t>
            </w:r>
          </w:p>
        </w:tc>
        <w:tc>
          <w:tcPr>
            <w:tcW w:w="1660" w:type="dxa"/>
            <w:tcBorders>
              <w:top w:val="nil"/>
              <w:left w:val="nil"/>
              <w:bottom w:val="single" w:sz="4" w:space="0" w:color="auto"/>
              <w:right w:val="single" w:sz="4" w:space="0" w:color="auto"/>
            </w:tcBorders>
            <w:shd w:val="clear" w:color="C0C0C0" w:fill="BFBFB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w:t>
            </w:r>
          </w:p>
        </w:tc>
        <w:tc>
          <w:tcPr>
            <w:tcW w:w="1660" w:type="dxa"/>
            <w:tcBorders>
              <w:top w:val="nil"/>
              <w:left w:val="nil"/>
              <w:bottom w:val="single" w:sz="4" w:space="0" w:color="auto"/>
              <w:right w:val="single" w:sz="8" w:space="0" w:color="auto"/>
            </w:tcBorders>
            <w:shd w:val="clear" w:color="C0C0C0" w:fill="BFBFB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w:t>
            </w:r>
          </w:p>
        </w:tc>
      </w:tr>
      <w:tr>
        <w:tblPrEx>
          <w:tblW w:w="0" w:type="auto"/>
          <w:jc w:val="center"/>
          <w:tblLayout w:type="fixed"/>
          <w:tblCellMar>
            <w:left w:w="70" w:type="dxa"/>
            <w:right w:w="70" w:type="dxa"/>
          </w:tblCellMar>
          <w:tblLook w:val="04A0"/>
        </w:tblPrEx>
        <w:trPr>
          <w:trHeight w:val="227"/>
          <w:jc w:val="center"/>
        </w:trPr>
        <w:tc>
          <w:tcPr>
            <w:tcW w:w="1659" w:type="dxa"/>
            <w:tcBorders>
              <w:top w:val="nil"/>
              <w:left w:val="single" w:sz="8"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2024</w:t>
            </w:r>
          </w:p>
        </w:tc>
        <w:tc>
          <w:tcPr>
            <w:tcW w:w="1660" w:type="dxa"/>
            <w:tcBorders>
              <w:top w:val="nil"/>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647 482 002,84</w:t>
            </w:r>
          </w:p>
        </w:tc>
        <w:tc>
          <w:tcPr>
            <w:tcW w:w="1659" w:type="dxa"/>
            <w:tcBorders>
              <w:top w:val="nil"/>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w:t>
            </w:r>
          </w:p>
        </w:tc>
        <w:tc>
          <w:tcPr>
            <w:tcW w:w="1660" w:type="dxa"/>
            <w:tcBorders>
              <w:top w:val="nil"/>
              <w:left w:val="nil"/>
              <w:bottom w:val="single" w:sz="4" w:space="0" w:color="auto"/>
              <w:right w:val="single" w:sz="4" w:space="0" w:color="auto"/>
            </w:tcBorders>
            <w:shd w:val="clear" w:color="DBEEF4" w:fill="CCEC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3 641,20</w:t>
            </w:r>
          </w:p>
        </w:tc>
        <w:tc>
          <w:tcPr>
            <w:tcW w:w="1659" w:type="dxa"/>
            <w:tcBorders>
              <w:top w:val="nil"/>
              <w:left w:val="nil"/>
              <w:bottom w:val="single" w:sz="4" w:space="0" w:color="auto"/>
              <w:right w:val="single" w:sz="4" w:space="0" w:color="auto"/>
            </w:tcBorders>
            <w:shd w:val="clear" w:color="DDDDDD" w:fill="D8D8D8"/>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w:t>
            </w:r>
          </w:p>
        </w:tc>
        <w:tc>
          <w:tcPr>
            <w:tcW w:w="1660" w:type="dxa"/>
            <w:tcBorders>
              <w:top w:val="nil"/>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w:t>
            </w:r>
          </w:p>
        </w:tc>
        <w:tc>
          <w:tcPr>
            <w:tcW w:w="1659" w:type="dxa"/>
            <w:tcBorders>
              <w:top w:val="nil"/>
              <w:left w:val="nil"/>
              <w:bottom w:val="single" w:sz="4" w:space="0" w:color="auto"/>
              <w:right w:val="single" w:sz="4" w:space="0" w:color="auto"/>
            </w:tcBorders>
            <w:shd w:val="clear" w:color="DDDDDD" w:fill="D8D8D8"/>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w:t>
            </w:r>
          </w:p>
        </w:tc>
        <w:tc>
          <w:tcPr>
            <w:tcW w:w="1660" w:type="dxa"/>
            <w:tcBorders>
              <w:top w:val="nil"/>
              <w:left w:val="nil"/>
              <w:bottom w:val="single" w:sz="4" w:space="0" w:color="auto"/>
              <w:right w:val="single" w:sz="4" w:space="0" w:color="auto"/>
            </w:tcBorders>
            <w:shd w:val="clear" w:color="DDDDDD" w:fill="D8D8D8"/>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w:t>
            </w:r>
          </w:p>
        </w:tc>
        <w:tc>
          <w:tcPr>
            <w:tcW w:w="1660" w:type="dxa"/>
            <w:tcBorders>
              <w:top w:val="nil"/>
              <w:left w:val="nil"/>
              <w:bottom w:val="single" w:sz="4" w:space="0" w:color="auto"/>
              <w:right w:val="single" w:sz="8" w:space="0" w:color="auto"/>
            </w:tcBorders>
            <w:shd w:val="clear" w:color="DDDDDD" w:fill="D8D8D8"/>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w:t>
            </w:r>
          </w:p>
        </w:tc>
      </w:tr>
      <w:tr>
        <w:tblPrEx>
          <w:tblW w:w="0" w:type="auto"/>
          <w:jc w:val="center"/>
          <w:tblLayout w:type="fixed"/>
          <w:tblCellMar>
            <w:left w:w="70" w:type="dxa"/>
            <w:right w:w="70" w:type="dxa"/>
          </w:tblCellMar>
          <w:tblLook w:val="04A0"/>
        </w:tblPrEx>
        <w:trPr>
          <w:trHeight w:val="227"/>
          <w:jc w:val="center"/>
        </w:trPr>
        <w:tc>
          <w:tcPr>
            <w:tcW w:w="1659" w:type="dxa"/>
            <w:tcBorders>
              <w:top w:val="nil"/>
              <w:left w:val="single" w:sz="8"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2025</w:t>
            </w:r>
          </w:p>
        </w:tc>
        <w:tc>
          <w:tcPr>
            <w:tcW w:w="1660"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w:t>
            </w:r>
          </w:p>
        </w:tc>
        <w:tc>
          <w:tcPr>
            <w:tcW w:w="1659" w:type="dxa"/>
            <w:tcBorders>
              <w:top w:val="nil"/>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3 973,10</w:t>
            </w:r>
          </w:p>
        </w:tc>
        <w:tc>
          <w:tcPr>
            <w:tcW w:w="1660" w:type="dxa"/>
            <w:tcBorders>
              <w:top w:val="nil"/>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p>
        </w:tc>
        <w:tc>
          <w:tcPr>
            <w:tcW w:w="1659" w:type="dxa"/>
            <w:tcBorders>
              <w:top w:val="nil"/>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1,295</w:t>
            </w:r>
          </w:p>
        </w:tc>
        <w:tc>
          <w:tcPr>
            <w:tcW w:w="1660" w:type="dxa"/>
            <w:tcBorders>
              <w:top w:val="nil"/>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610 175 980,09</w:t>
            </w:r>
          </w:p>
        </w:tc>
        <w:tc>
          <w:tcPr>
            <w:tcW w:w="1659" w:type="dxa"/>
            <w:tcBorders>
              <w:top w:val="nil"/>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2,2%</w:t>
            </w:r>
          </w:p>
        </w:tc>
        <w:tc>
          <w:tcPr>
            <w:tcW w:w="1660" w:type="dxa"/>
            <w:tcBorders>
              <w:top w:val="nil"/>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13 423 871,56</w:t>
            </w:r>
          </w:p>
        </w:tc>
        <w:tc>
          <w:tcPr>
            <w:tcW w:w="1660" w:type="dxa"/>
            <w:tcBorders>
              <w:top w:val="nil"/>
              <w:left w:val="nil"/>
              <w:bottom w:val="single" w:sz="4" w:space="0" w:color="auto"/>
              <w:right w:val="single" w:sz="8"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p>
        </w:tc>
      </w:tr>
      <w:tr>
        <w:tblPrEx>
          <w:tblW w:w="0" w:type="auto"/>
          <w:jc w:val="center"/>
          <w:tblLayout w:type="fixed"/>
          <w:tblCellMar>
            <w:left w:w="70" w:type="dxa"/>
            <w:right w:w="70" w:type="dxa"/>
          </w:tblCellMar>
          <w:tblLook w:val="04A0"/>
        </w:tblPrEx>
        <w:trPr>
          <w:trHeight w:val="227"/>
          <w:jc w:val="center"/>
        </w:trPr>
        <w:tc>
          <w:tcPr>
            <w:tcW w:w="1659" w:type="dxa"/>
            <w:tcBorders>
              <w:top w:val="nil"/>
              <w:left w:val="single" w:sz="8" w:space="0" w:color="auto"/>
              <w:bottom w:val="single" w:sz="4" w:space="0" w:color="auto"/>
              <w:right w:val="single" w:sz="4" w:space="0" w:color="auto"/>
            </w:tcBorders>
            <w:shd w:val="clear" w:color="DDDDDD" w:fill="D8D8D8"/>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2025 aktualizacja</w:t>
            </w:r>
          </w:p>
        </w:tc>
        <w:tc>
          <w:tcPr>
            <w:tcW w:w="1660"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w:t>
            </w:r>
          </w:p>
        </w:tc>
        <w:tc>
          <w:tcPr>
            <w:tcW w:w="1659" w:type="dxa"/>
            <w:tcBorders>
              <w:top w:val="single" w:sz="4" w:space="0" w:color="auto"/>
              <w:left w:val="nil"/>
              <w:bottom w:val="single" w:sz="8"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w:t>
            </w:r>
          </w:p>
        </w:tc>
        <w:tc>
          <w:tcPr>
            <w:tcW w:w="1660"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w:t>
            </w:r>
          </w:p>
        </w:tc>
        <w:tc>
          <w:tcPr>
            <w:tcW w:w="1659" w:type="dxa"/>
            <w:tcBorders>
              <w:top w:val="single" w:sz="4" w:space="0" w:color="auto"/>
              <w:left w:val="nil"/>
              <w:bottom w:val="single" w:sz="8"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w:t>
            </w:r>
          </w:p>
        </w:tc>
        <w:tc>
          <w:tcPr>
            <w:tcW w:w="1660" w:type="dxa"/>
            <w:tcBorders>
              <w:top w:val="single" w:sz="4" w:space="0" w:color="auto"/>
              <w:left w:val="nil"/>
              <w:bottom w:val="single" w:sz="8"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w:t>
            </w:r>
          </w:p>
        </w:tc>
        <w:tc>
          <w:tcPr>
            <w:tcW w:w="1659" w:type="dxa"/>
            <w:tcBorders>
              <w:top w:val="single" w:sz="4" w:space="0" w:color="auto"/>
              <w:left w:val="nil"/>
              <w:bottom w:val="single" w:sz="8"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w:t>
            </w:r>
          </w:p>
        </w:tc>
        <w:tc>
          <w:tcPr>
            <w:tcW w:w="1660" w:type="dxa"/>
            <w:tcBorders>
              <w:top w:val="nil"/>
              <w:left w:val="nil"/>
              <w:bottom w:val="single" w:sz="4" w:space="0" w:color="auto"/>
              <w:right w:val="single" w:sz="4" w:space="0" w:color="auto"/>
            </w:tcBorders>
            <w:shd w:val="clear" w:color="DDDDDD" w:fill="D8D8D8"/>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22 500 458,05</w:t>
            </w:r>
          </w:p>
        </w:tc>
        <w:tc>
          <w:tcPr>
            <w:tcW w:w="1660" w:type="dxa"/>
            <w:tcBorders>
              <w:top w:val="nil"/>
              <w:left w:val="nil"/>
              <w:bottom w:val="single" w:sz="4" w:space="0" w:color="auto"/>
              <w:right w:val="single" w:sz="8" w:space="0" w:color="auto"/>
            </w:tcBorders>
            <w:shd w:val="clear" w:color="DDDDDD" w:fill="D8D8D8"/>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w:t>
            </w:r>
          </w:p>
        </w:tc>
      </w:tr>
      <w:tr>
        <w:tblPrEx>
          <w:tblW w:w="0" w:type="auto"/>
          <w:jc w:val="center"/>
          <w:tblLayout w:type="fixed"/>
          <w:tblCellMar>
            <w:left w:w="70" w:type="dxa"/>
            <w:right w:w="70" w:type="dxa"/>
          </w:tblCellMar>
          <w:tblLook w:val="04A0"/>
        </w:tblPrEx>
        <w:trPr>
          <w:trHeight w:val="227"/>
          <w:jc w:val="center"/>
        </w:trPr>
        <w:tc>
          <w:tcPr>
            <w:tcW w:w="1659" w:type="dxa"/>
            <w:tcBorders>
              <w:top w:val="nil"/>
              <w:left w:val="single" w:sz="8"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2026</w:t>
            </w:r>
          </w:p>
        </w:tc>
        <w:tc>
          <w:tcPr>
            <w:tcW w:w="1660"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w:t>
            </w:r>
          </w:p>
        </w:tc>
        <w:tc>
          <w:tcPr>
            <w:tcW w:w="1659" w:type="dxa"/>
            <w:tcBorders>
              <w:top w:val="single" w:sz="8"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4 160,20</w:t>
            </w:r>
          </w:p>
        </w:tc>
        <w:tc>
          <w:tcPr>
            <w:tcW w:w="1660"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w:t>
            </w:r>
          </w:p>
        </w:tc>
        <w:tc>
          <w:tcPr>
            <w:tcW w:w="1659" w:type="dxa"/>
            <w:tcBorders>
              <w:top w:val="single" w:sz="8"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1,143</w:t>
            </w:r>
          </w:p>
        </w:tc>
        <w:tc>
          <w:tcPr>
            <w:tcW w:w="1660" w:type="dxa"/>
            <w:tcBorders>
              <w:top w:val="single" w:sz="8"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740 071 929,25</w:t>
            </w:r>
          </w:p>
        </w:tc>
        <w:tc>
          <w:tcPr>
            <w:tcW w:w="1659" w:type="dxa"/>
            <w:tcBorders>
              <w:top w:val="single" w:sz="8"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2,2%</w:t>
            </w:r>
          </w:p>
        </w:tc>
        <w:tc>
          <w:tcPr>
            <w:tcW w:w="1660" w:type="dxa"/>
            <w:tcBorders>
              <w:top w:val="nil"/>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16 281 582,44</w:t>
            </w:r>
          </w:p>
        </w:tc>
        <w:tc>
          <w:tcPr>
            <w:tcW w:w="1660" w:type="dxa"/>
            <w:tcBorders>
              <w:top w:val="nil"/>
              <w:left w:val="nil"/>
              <w:bottom w:val="single" w:sz="4" w:space="0" w:color="auto"/>
              <w:right w:val="single" w:sz="8"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2 857 710,88</w:t>
            </w:r>
          </w:p>
        </w:tc>
      </w:tr>
      <w:tr>
        <w:tblPrEx>
          <w:tblW w:w="0" w:type="auto"/>
          <w:jc w:val="center"/>
          <w:tblLayout w:type="fixed"/>
          <w:tblCellMar>
            <w:left w:w="70" w:type="dxa"/>
            <w:right w:w="70" w:type="dxa"/>
          </w:tblCellMar>
          <w:tblLook w:val="04A0"/>
        </w:tblPrEx>
        <w:trPr>
          <w:trHeight w:val="227"/>
          <w:jc w:val="center"/>
        </w:trPr>
        <w:tc>
          <w:tcPr>
            <w:tcW w:w="1659" w:type="dxa"/>
            <w:tcBorders>
              <w:top w:val="nil"/>
              <w:left w:val="single" w:sz="8"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2027</w:t>
            </w:r>
          </w:p>
        </w:tc>
        <w:tc>
          <w:tcPr>
            <w:tcW w:w="1660"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w:t>
            </w:r>
          </w:p>
        </w:tc>
        <w:tc>
          <w:tcPr>
            <w:tcW w:w="1659" w:type="dxa"/>
            <w:tcBorders>
              <w:top w:val="nil"/>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4 396,30</w:t>
            </w:r>
          </w:p>
        </w:tc>
        <w:tc>
          <w:tcPr>
            <w:tcW w:w="1660"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w:t>
            </w:r>
          </w:p>
        </w:tc>
        <w:tc>
          <w:tcPr>
            <w:tcW w:w="1659" w:type="dxa"/>
            <w:tcBorders>
              <w:top w:val="nil"/>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1,207</w:t>
            </w:r>
          </w:p>
        </w:tc>
        <w:tc>
          <w:tcPr>
            <w:tcW w:w="1660" w:type="dxa"/>
            <w:tcBorders>
              <w:top w:val="nil"/>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781 510 777,43</w:t>
            </w:r>
          </w:p>
        </w:tc>
        <w:tc>
          <w:tcPr>
            <w:tcW w:w="1659" w:type="dxa"/>
            <w:tcBorders>
              <w:top w:val="nil"/>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2,2%</w:t>
            </w:r>
          </w:p>
        </w:tc>
        <w:tc>
          <w:tcPr>
            <w:tcW w:w="1660" w:type="dxa"/>
            <w:tcBorders>
              <w:top w:val="nil"/>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17 193 237,10</w:t>
            </w:r>
          </w:p>
        </w:tc>
        <w:tc>
          <w:tcPr>
            <w:tcW w:w="1660" w:type="dxa"/>
            <w:tcBorders>
              <w:top w:val="nil"/>
              <w:left w:val="nil"/>
              <w:bottom w:val="single" w:sz="4" w:space="0" w:color="auto"/>
              <w:right w:val="single" w:sz="8"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911 654,66</w:t>
            </w:r>
          </w:p>
        </w:tc>
      </w:tr>
      <w:tr>
        <w:tblPrEx>
          <w:tblW w:w="0" w:type="auto"/>
          <w:jc w:val="center"/>
          <w:tblLayout w:type="fixed"/>
          <w:tblCellMar>
            <w:left w:w="70" w:type="dxa"/>
            <w:right w:w="70" w:type="dxa"/>
          </w:tblCellMar>
          <w:tblLook w:val="04A0"/>
        </w:tblPrEx>
        <w:trPr>
          <w:trHeight w:val="227"/>
          <w:jc w:val="center"/>
        </w:trPr>
        <w:tc>
          <w:tcPr>
            <w:tcW w:w="1659" w:type="dxa"/>
            <w:tcBorders>
              <w:top w:val="nil"/>
              <w:left w:val="single" w:sz="8"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2028</w:t>
            </w:r>
          </w:p>
        </w:tc>
        <w:tc>
          <w:tcPr>
            <w:tcW w:w="1660"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w:t>
            </w:r>
          </w:p>
        </w:tc>
        <w:tc>
          <w:tcPr>
            <w:tcW w:w="1659" w:type="dxa"/>
            <w:tcBorders>
              <w:top w:val="nil"/>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4 638,30</w:t>
            </w:r>
          </w:p>
        </w:tc>
        <w:tc>
          <w:tcPr>
            <w:tcW w:w="1660"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w:t>
            </w:r>
          </w:p>
        </w:tc>
        <w:tc>
          <w:tcPr>
            <w:tcW w:w="1659" w:type="dxa"/>
            <w:tcBorders>
              <w:top w:val="nil"/>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1,274</w:t>
            </w:r>
          </w:p>
        </w:tc>
        <w:tc>
          <w:tcPr>
            <w:tcW w:w="1660" w:type="dxa"/>
            <w:tcBorders>
              <w:top w:val="nil"/>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824 892 071,62</w:t>
            </w:r>
          </w:p>
        </w:tc>
        <w:tc>
          <w:tcPr>
            <w:tcW w:w="1659" w:type="dxa"/>
            <w:tcBorders>
              <w:top w:val="nil"/>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2,2%</w:t>
            </w:r>
          </w:p>
        </w:tc>
        <w:tc>
          <w:tcPr>
            <w:tcW w:w="1660" w:type="dxa"/>
            <w:tcBorders>
              <w:top w:val="nil"/>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18 147 625,58</w:t>
            </w:r>
          </w:p>
        </w:tc>
        <w:tc>
          <w:tcPr>
            <w:tcW w:w="1660" w:type="dxa"/>
            <w:tcBorders>
              <w:top w:val="nil"/>
              <w:left w:val="nil"/>
              <w:bottom w:val="single" w:sz="4" w:space="0" w:color="auto"/>
              <w:right w:val="single" w:sz="8"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954 388,48</w:t>
            </w:r>
          </w:p>
        </w:tc>
      </w:tr>
      <w:tr>
        <w:tblPrEx>
          <w:tblW w:w="0" w:type="auto"/>
          <w:jc w:val="center"/>
          <w:tblLayout w:type="fixed"/>
          <w:tblCellMar>
            <w:left w:w="70" w:type="dxa"/>
            <w:right w:w="70" w:type="dxa"/>
          </w:tblCellMar>
          <w:tblLook w:val="04A0"/>
        </w:tblPrEx>
        <w:trPr>
          <w:trHeight w:val="227"/>
          <w:jc w:val="center"/>
        </w:trPr>
        <w:tc>
          <w:tcPr>
            <w:tcW w:w="1659" w:type="dxa"/>
            <w:tcBorders>
              <w:top w:val="nil"/>
              <w:left w:val="single" w:sz="8" w:space="0" w:color="auto"/>
              <w:bottom w:val="single" w:sz="8"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2029</w:t>
            </w:r>
          </w:p>
        </w:tc>
        <w:tc>
          <w:tcPr>
            <w:tcW w:w="1660" w:type="dxa"/>
            <w:tcBorders>
              <w:top w:val="single" w:sz="4" w:space="0" w:color="auto"/>
              <w:left w:val="nil"/>
              <w:bottom w:val="single" w:sz="8"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w:t>
            </w:r>
          </w:p>
        </w:tc>
        <w:tc>
          <w:tcPr>
            <w:tcW w:w="1659" w:type="dxa"/>
            <w:tcBorders>
              <w:top w:val="nil"/>
              <w:left w:val="nil"/>
              <w:bottom w:val="single" w:sz="8"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4 881,60</w:t>
            </w:r>
          </w:p>
        </w:tc>
        <w:tc>
          <w:tcPr>
            <w:tcW w:w="1660" w:type="dxa"/>
            <w:tcBorders>
              <w:top w:val="single" w:sz="4" w:space="0" w:color="auto"/>
              <w:left w:val="nil"/>
              <w:bottom w:val="single" w:sz="8"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w:t>
            </w:r>
          </w:p>
        </w:tc>
        <w:tc>
          <w:tcPr>
            <w:tcW w:w="1659" w:type="dxa"/>
            <w:tcBorders>
              <w:top w:val="nil"/>
              <w:left w:val="nil"/>
              <w:bottom w:val="single" w:sz="8"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1,341</w:t>
            </w:r>
          </w:p>
        </w:tc>
        <w:tc>
          <w:tcPr>
            <w:tcW w:w="1660" w:type="dxa"/>
            <w:tcBorders>
              <w:top w:val="nil"/>
              <w:left w:val="nil"/>
              <w:bottom w:val="single" w:sz="8"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868 273 365,81</w:t>
            </w:r>
          </w:p>
        </w:tc>
        <w:tc>
          <w:tcPr>
            <w:tcW w:w="1659" w:type="dxa"/>
            <w:tcBorders>
              <w:top w:val="nil"/>
              <w:left w:val="nil"/>
              <w:bottom w:val="single" w:sz="8"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2,2%</w:t>
            </w:r>
          </w:p>
        </w:tc>
        <w:tc>
          <w:tcPr>
            <w:tcW w:w="1660" w:type="dxa"/>
            <w:tcBorders>
              <w:top w:val="nil"/>
              <w:left w:val="nil"/>
              <w:bottom w:val="single" w:sz="8"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19 102 014,05</w:t>
            </w:r>
          </w:p>
        </w:tc>
        <w:tc>
          <w:tcPr>
            <w:tcW w:w="1660" w:type="dxa"/>
            <w:tcBorders>
              <w:top w:val="nil"/>
              <w:left w:val="nil"/>
              <w:bottom w:val="single" w:sz="8" w:space="0" w:color="auto"/>
              <w:right w:val="single" w:sz="8"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954 388,47</w:t>
            </w:r>
          </w:p>
        </w:tc>
      </w:tr>
    </w:tbl>
    <w:p>
      <w:pPr>
        <w:keepNext w:val="0"/>
        <w:keepLines w:val="0"/>
        <w:widowControl/>
        <w:suppressLineNumbers w:val="0"/>
        <w:shd w:val="clear" w:color="auto" w:fill="auto"/>
        <w:suppressAutoHyphens w:val="0"/>
        <w:spacing w:before="240" w:beforeAutospacing="0" w:after="12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 xml:space="preserve">Należy przy tym podkreślić, iż istnieją podstawy do powzięcia wątpliwości co do kwot stanowiących podstawę wyliczeń należnego udziału miastu w CIT z uwagi na fakt dokonanych w roku 2025 korekt przez MF, zwiększających należne miastu udziały z tego tytułu z kwoty 13 423 872 zł do kwoty 22 500 458 zł bez przedłożenia jakiejkolwiek formalnej informacji w tym zakresie. O dokonanych przez MF korektach powzięto informację dopiero na etapie wyliczeń kwoty kalkulacyjnej za 2026 r. wskazanej w informacji MF z dnia 14 października 2025. Pozytywną weryfikację uzasadnionych wątpliwości uzyskano poprzez informację podaną na stronie: </w:t>
      </w:r>
    </w:p>
    <w:p>
      <w:pPr>
        <w:keepNext w:val="0"/>
        <w:keepLines w:val="0"/>
        <w:widowControl/>
        <w:suppressLineNumbers w:val="0"/>
        <w:shd w:val="clear" w:color="auto" w:fill="auto"/>
        <w:suppressAutoHyphens w:val="0"/>
        <w:spacing w:before="0" w:beforeAutospacing="0" w:after="120" w:afterAutospacing="0" w:line="240" w:lineRule="auto"/>
        <w:ind w:left="0" w:right="0" w:firstLine="357"/>
        <w:contextualSpacing w:val="0"/>
        <w:jc w:val="center"/>
        <w:rPr>
          <w:rFonts w:eastAsia="Times New Roman" w:cs="Times New Roman"/>
          <w:szCs w:val="20"/>
          <w:lang w:bidi="ar-SA"/>
        </w:rPr>
      </w:pPr>
      <w:hyperlink r:id="rId9" w:history="1">
        <w:r>
          <w:rPr>
            <w:rFonts w:eastAsia="Times New Roman" w:cs="Times New Roman"/>
            <w:szCs w:val="20"/>
            <w:u w:val="single"/>
            <w:lang w:bidi="ar-SA"/>
          </w:rPr>
          <w:t>https://www.gov.pl/web/finanse/kwoty-dochodow-jednostek-samorzadu-terytorialnego-na-rok-2026-potrzeby-finansowe-podlegajace-sfinansowaniu-oraz-szczegolowe-dane-wykorzystane-do-ich-obliczenia</w:t>
        </w:r>
      </w:hyperlink>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Zaprezentowano tam skorygowane kwoty w zakresie podstawowych parametrów wpływających na należne miastu kwoty transferów z budżetu państwa w roku 2025, mających jednocześnie wpływ na kwoty tych transferów w roku 2026. Wynikają z nich jednocześnie wyższe należne udziały w podatku CIT za 2025 r. przy jednoczesnym obniżeniu pozostałych należnych kwot dla miasta (subwencji ogólnej obniżonej m.in. na skutek wzrostu udziałów w CIT). Miasto Bytom nie zostało poinformowane formalnie o dokonanych przez MF korektach oraz metodzie ich dokonania.</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Jednocześnie procedowana obecnie zmiana ustawy o dochodach jednostek samorządu terytorialnego (ustawa obecnie przedłożona do podpisu Prezydenta RP – podjęta przez Sejm i Senat w dniach 6-7 listopada br.) zakłada m.in. co następuje:</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i/>
          <w:szCs w:val="20"/>
          <w:lang w:bidi="ar-SA"/>
        </w:rPr>
      </w:pPr>
      <w:r>
        <w:rPr>
          <w:rFonts w:eastAsia="Times New Roman" w:cs="Times New Roman"/>
          <w:i/>
          <w:szCs w:val="20"/>
          <w:lang w:bidi="ar-SA"/>
        </w:rPr>
        <w:t>„[…] Projekt ustawy o zmianie ustawy o dochodach jednostek samorządu terytorialnego ma na celu wykorzystanie zaktualizowanych danych podatkowych z tytułu podatku dochodowego od osób prawnych do obliczenia dochodów jednostek samorządu terytorialnego.[…]”</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i/>
          <w:szCs w:val="20"/>
          <w:lang w:bidi="ar-SA"/>
        </w:rPr>
      </w:pPr>
      <w:r>
        <w:rPr>
          <w:rFonts w:eastAsia="Times New Roman" w:cs="Times New Roman"/>
          <w:i/>
          <w:szCs w:val="20"/>
          <w:lang w:bidi="ar-SA"/>
        </w:rPr>
        <w:t xml:space="preserve"> „[…] Na etapie opracowania projektu ustawy przyjęto dane, które były wówczas dostępne w bazach danych. W związku z aktualizacją danych będących podstawą naliczenia dochodów JST z tytułu udziału w podatku CIT na rok 2025 oraz aktualizacją kwot potrzeb oświatowych dokonaną przez Ministra Edukacji, zasadne jest wykorzystanie tych zaktualizowanych danych do obliczenia dochodów JST na rok 2026, w zakresie, w jakim przewiduje to ustawa z dnia 1 października 2024 r. o dochodach jednostek samorządu terytorialnego – co zapewni właściwą, zgodną z danymi alokację środków do jednostek.</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i/>
          <w:szCs w:val="20"/>
          <w:lang w:bidi="ar-SA"/>
        </w:rPr>
      </w:pPr>
      <w:r>
        <w:rPr>
          <w:rFonts w:eastAsia="Times New Roman" w:cs="Times New Roman"/>
          <w:i/>
          <w:szCs w:val="20"/>
          <w:lang w:bidi="ar-SA"/>
        </w:rPr>
        <w:t>Wykorzystanie, wygenerowanych przez systemy informatyczne, zaktualizowanych danych o dochodach podatników CIT, pozwalając na precyzyjne przypisanie dochodów osiąganych przez poszczególnych podatników do właściwej JST, umożliwi zatem ustalenie dochodów subwencyjnych JST na rok 2026, w oparciu o aktualne dane.[…]”</w:t>
      </w:r>
    </w:p>
    <w:p>
      <w:pPr>
        <w:keepNext/>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i/>
          <w:szCs w:val="20"/>
          <w:u w:val="single"/>
          <w:lang w:bidi="ar-SA"/>
        </w:rPr>
      </w:pPr>
      <w:r>
        <w:rPr>
          <w:rFonts w:eastAsia="Times New Roman" w:cs="Times New Roman"/>
          <w:i/>
          <w:szCs w:val="20"/>
          <w:u w:val="single"/>
          <w:lang w:bidi="ar-SA"/>
        </w:rPr>
        <w:t>„[…] dodanie art. 93a</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i/>
          <w:szCs w:val="20"/>
          <w:lang w:bidi="ar-SA"/>
        </w:rPr>
      </w:pPr>
      <w:r>
        <w:rPr>
          <w:rFonts w:eastAsia="Times New Roman" w:cs="Times New Roman"/>
          <w:i/>
          <w:szCs w:val="20"/>
          <w:lang w:bidi="ar-SA"/>
        </w:rPr>
        <w:t>Regulacja ta umożliwi ustalenie dochodów JST na rok 2026 z tytułu udziału w podatku dochodowym od osób fizycznych, udziału w podatku dochodowym od osób prawnych oraz subwencji ogólnej z budżetu państwa, uwzględniając dochody za rok 2025 obliczone z wykorzystaniem dostępnych danych.</w:t>
      </w:r>
    </w:p>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both"/>
        <w:rPr>
          <w:rFonts w:eastAsia="Times New Roman" w:cs="Times New Roman"/>
          <w:i/>
          <w:szCs w:val="20"/>
          <w:lang w:bidi="ar-SA"/>
        </w:rPr>
      </w:pPr>
      <w:r>
        <w:rPr>
          <w:rFonts w:eastAsia="Times New Roman" w:cs="Times New Roman"/>
          <w:i/>
          <w:szCs w:val="20"/>
          <w:lang w:bidi="ar-SA"/>
        </w:rPr>
        <w:t>W projektowanym art. 93a w:</w:t>
      </w:r>
    </w:p>
    <w:p>
      <w:pPr>
        <w:keepNext w:val="0"/>
        <w:keepLines w:val="0"/>
        <w:widowControl/>
        <w:numPr>
          <w:ilvl w:val="0"/>
          <w:numId w:val="2"/>
        </w:numPr>
        <w:suppressLineNumbers w:val="0"/>
        <w:shd w:val="clear" w:color="auto" w:fill="auto"/>
        <w:suppressAutoHyphens w:val="0"/>
        <w:spacing w:before="0" w:beforeAutospacing="0" w:after="0" w:afterAutospacing="0" w:line="240" w:lineRule="auto"/>
        <w:ind w:left="680" w:right="0" w:hanging="340"/>
        <w:contextualSpacing w:val="0"/>
        <w:jc w:val="both"/>
        <w:rPr>
          <w:rFonts w:eastAsia="Times New Roman" w:cs="Times New Roman"/>
          <w:i/>
          <w:szCs w:val="20"/>
          <w:lang w:bidi="ar-SA"/>
        </w:rPr>
      </w:pPr>
      <w:r>
        <w:rPr>
          <w:rFonts w:eastAsia="Times New Roman" w:cs="Times New Roman"/>
          <w:i/>
          <w:szCs w:val="20"/>
          <w:lang w:bidi="ar-SA"/>
        </w:rPr>
        <w:t>pkt 1 lit. a i b proponuje się przyjęcie do obliczeń przewidzianych w ustawie z dnia 1 października 2024 r. o dochodach jednostek samorządu terytorialnego danych o wysokości dochodów podatników podatku dochodowego od osób prawnych za rok 2022 oraz o należnym podatku dochodowym od osób prawnych w zakresie lat 2021-2022, według stanu na dzień 30 czerwca 2025 r. Lata te były podstawą naliczenia dochodów JST na rok 2025,</w:t>
      </w:r>
    </w:p>
    <w:p>
      <w:pPr>
        <w:keepNext w:val="0"/>
        <w:keepLines w:val="0"/>
        <w:widowControl/>
        <w:numPr>
          <w:ilvl w:val="0"/>
          <w:numId w:val="2"/>
        </w:numPr>
        <w:suppressLineNumbers w:val="0"/>
        <w:shd w:val="clear" w:color="auto" w:fill="auto"/>
        <w:suppressAutoHyphens w:val="0"/>
        <w:spacing w:before="0" w:beforeAutospacing="0" w:after="0" w:afterAutospacing="0" w:line="240" w:lineRule="auto"/>
        <w:ind w:left="680" w:right="0" w:hanging="340"/>
        <w:contextualSpacing w:val="0"/>
        <w:jc w:val="both"/>
        <w:rPr>
          <w:rFonts w:eastAsia="Times New Roman" w:cs="Times New Roman"/>
          <w:i/>
          <w:szCs w:val="20"/>
          <w:lang w:bidi="ar-SA"/>
        </w:rPr>
      </w:pPr>
      <w:r>
        <w:rPr>
          <w:rFonts w:eastAsia="Times New Roman" w:cs="Times New Roman"/>
          <w:i/>
          <w:szCs w:val="20"/>
          <w:lang w:bidi="ar-SA"/>
        </w:rPr>
        <w:t>pkt 1 lit. c, z uwagi na naliczenie dochodów JST z tytułu udziału w podatku dochodowym od osób prawnych na podstawie zaktualizowanych danych, przewiduje się aktualizację kwoty kalkulacyjnej na rok 2025, będącej podstawą ustalenia subwencji ogólnej z budżetu państwa,</w:t>
      </w:r>
    </w:p>
    <w:p>
      <w:pPr>
        <w:keepNext w:val="0"/>
        <w:keepLines w:val="0"/>
        <w:widowControl/>
        <w:numPr>
          <w:ilvl w:val="0"/>
          <w:numId w:val="2"/>
        </w:numPr>
        <w:suppressLineNumbers w:val="0"/>
        <w:shd w:val="clear" w:color="auto" w:fill="auto"/>
        <w:suppressAutoHyphens w:val="0"/>
        <w:spacing w:before="0" w:beforeAutospacing="0" w:after="0" w:afterAutospacing="0" w:line="240" w:lineRule="auto"/>
        <w:ind w:left="680" w:right="0" w:hanging="340"/>
        <w:contextualSpacing w:val="0"/>
        <w:jc w:val="both"/>
        <w:rPr>
          <w:rFonts w:eastAsia="Times New Roman" w:cs="Times New Roman"/>
          <w:i/>
          <w:szCs w:val="20"/>
          <w:lang w:bidi="ar-SA"/>
        </w:rPr>
      </w:pPr>
      <w:r>
        <w:rPr>
          <w:rFonts w:eastAsia="Times New Roman" w:cs="Times New Roman"/>
          <w:i/>
          <w:szCs w:val="20"/>
          <w:lang w:bidi="ar-SA"/>
        </w:rPr>
        <w:t>pkt 1 lit. d proponuje się przyjęcie zaktualizowanych danych w zakresie potrzeb oświatowych, naliczonych przez ministra właściwego do spraw oświaty i wychowania, o których informacje zostały przekazane ministrowi właściwemu do spraw finansów publicznych do dnia 31 maja 2025 r.,</w:t>
      </w:r>
    </w:p>
    <w:p>
      <w:pPr>
        <w:keepNext w:val="0"/>
        <w:keepLines w:val="0"/>
        <w:widowControl/>
        <w:numPr>
          <w:ilvl w:val="0"/>
          <w:numId w:val="2"/>
        </w:numPr>
        <w:suppressLineNumbers w:val="0"/>
        <w:shd w:val="clear" w:color="auto" w:fill="auto"/>
        <w:suppressAutoHyphens w:val="0"/>
        <w:spacing w:before="0" w:beforeAutospacing="0" w:after="0" w:afterAutospacing="0" w:line="240" w:lineRule="auto"/>
        <w:ind w:left="680" w:right="0" w:hanging="340"/>
        <w:contextualSpacing w:val="0"/>
        <w:jc w:val="both"/>
        <w:rPr>
          <w:rFonts w:eastAsia="Times New Roman" w:cs="Times New Roman"/>
          <w:i/>
          <w:szCs w:val="20"/>
          <w:lang w:bidi="ar-SA"/>
        </w:rPr>
      </w:pPr>
      <w:r>
        <w:rPr>
          <w:rFonts w:eastAsia="Times New Roman" w:cs="Times New Roman"/>
          <w:i/>
          <w:szCs w:val="20"/>
          <w:lang w:bidi="ar-SA"/>
        </w:rPr>
        <w:t>pkt 1 lit. e proponuje się, w związku z aktualizacją dochodów z tytułu udziału w podatku dochodowym od osób prawnych oraz potrzeb oświatowych, przeliczenie potrzeb wyrównawczych i potrzeb uzupełniających, a także korekty z tytułu zamożności za rok 2025,</w:t>
      </w:r>
    </w:p>
    <w:p>
      <w:pPr>
        <w:keepNext w:val="0"/>
        <w:keepLines w:val="0"/>
        <w:widowControl/>
        <w:numPr>
          <w:ilvl w:val="0"/>
          <w:numId w:val="2"/>
        </w:numPr>
        <w:suppressLineNumbers w:val="0"/>
        <w:shd w:val="clear" w:color="auto" w:fill="auto"/>
        <w:suppressAutoHyphens w:val="0"/>
        <w:spacing w:before="0" w:beforeAutospacing="0" w:after="120" w:afterAutospacing="0" w:line="240" w:lineRule="auto"/>
        <w:ind w:left="680" w:right="0" w:hanging="340"/>
        <w:contextualSpacing w:val="0"/>
        <w:jc w:val="both"/>
        <w:rPr>
          <w:rFonts w:eastAsia="Times New Roman" w:cs="Times New Roman"/>
          <w:i/>
          <w:szCs w:val="20"/>
          <w:lang w:bidi="ar-SA"/>
        </w:rPr>
      </w:pPr>
      <w:r>
        <w:rPr>
          <w:rFonts w:eastAsia="Times New Roman" w:cs="Times New Roman"/>
          <w:i/>
          <w:szCs w:val="20"/>
          <w:lang w:bidi="ar-SA"/>
        </w:rPr>
        <w:t xml:space="preserve">pkt 2 przewiduje się ustalenie wskaźnika służącego do naliczenia kwoty kalkulacyjnej na rok 2026, z wykorzystaniem dochodów z tytułu udziału w podatku dochodowym od osób prawnych za rok 2025, obliczonych na podstawie zaktualizowanych danych w zakresie tych dochodów. </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i/>
          <w:szCs w:val="20"/>
          <w:lang w:bidi="ar-SA"/>
        </w:rPr>
      </w:pPr>
      <w:r>
        <w:rPr>
          <w:rFonts w:eastAsia="Times New Roman" w:cs="Times New Roman"/>
          <w:i/>
          <w:szCs w:val="20"/>
          <w:lang w:bidi="ar-SA"/>
        </w:rPr>
        <w:t>W art. 2 projektu ustawy określono termin wejścia w życie ustawy, tj. z dniem następującym po dniu ogłoszenia. Zaproponowany termin wejścia w życie ustawy pozwoli na naliczenie dochodów JST na rok 2026 zgodnie z proponowanymi rozwiązaniami według poprawnych danych oraz przekazanie do samorządów, możliwie szybko, informacji o wysokości ich dochodów w związku z prowadzonymi przez JST pracami nad budżetami samorządowymi na rok 2026. Zgodnie z art. 4 ust. 2 ustawy z dnia 20 lipca 2000 r. o ogłaszaniu aktów normatywnych i niektórych innych aktów prawnych (Dz. U. z 2019 r. poz. 1461) w uzasadnionych przypadkach akty normatywne mogą wchodzić w życie w terminie krótszym niż czternaście dni, a jeżeli ważny interes państwa wymaga natychmiastowego wejścia w życie aktu normatywnego i zasady demokratycznego państwa prawnego nie stoją temu na przeszkodzie, dniem wejścia w życie może być dzień ogłoszenia tego aktu w dzienniku urzędowym. Charakter przepisów zawartych w omawianym projekcie uzasadnia zastosowanie wyżej wymienionego terminu wejścia w życie. […]”.</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b/>
          <w:szCs w:val="20"/>
          <w:lang w:bidi="ar-SA"/>
        </w:rPr>
        <w:t>Z powyższego wynika zatem, iż przekazane samorządom przez MF w dniu 14 października br. dane nie wynikały z przepisów prawa, lecz były efektem prac i złożonych w tym zakresie projektów. Jednocześnie na rok 2026 MF dokonało wyliczeń bazując na wpływach z tego tytułu za rok 2024, a korekty określone powyższą ustawą mają zasadnicze znaczenie przy wyliczaniu kwoty kalkulacyjnej, opartej na nieobowiązującej na tym etapie korekcie i kwocie kalkulacyjnej</w:t>
      </w:r>
      <w:r>
        <w:rPr>
          <w:rFonts w:eastAsia="Times New Roman" w:cs="Times New Roman"/>
          <w:szCs w:val="20"/>
          <w:lang w:bidi="ar-SA"/>
        </w:rPr>
        <w:t>. Na dzień sporządzenia projektu budżetu na rok 2026 i Wieloletniej Prognozy Finansowej na lata 2026-2046 przepis nie obowiązuje, a wynikające z przeliczeń kwoty wskazują na znaczne i niezrozumiałe spadki dochodów z tytułu udziałów w CIT względem roku 2025 po omówionej powyżej korekcie MF. W roku 2026 udział należny miastu w podatku CIT względem planu pierwotnego na rok 2025 wzrasta o 2.857.710 zł, tj. o 21%, podczas gdy dane zostaną zaktualizowane w oparciu o kwoty podane miastu i wyliczone w wyniku wejścia w życie zmiany ustawy, kwota wskazana na rok przyszły będzie aż o 6 218 876 zł niższa niż zakładane przez MF dla miasta udziały w CIT po korekcie (spadek z 22 500 458 zł do 16 281 582 zł).</w:t>
      </w:r>
    </w:p>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W poniższej tabeli zaprezentowano dane dotyczące udziału Bytomia we wpływach z tytułu podatku PIT i CIT:</w:t>
      </w:r>
    </w:p>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kwota w zł</w:t>
      </w:r>
      <w:r>
        <w:rPr>
          <w:rFonts w:eastAsia="Times New Roman" w:cs="Times New Roman"/>
          <w:sz w:val="16"/>
          <w:szCs w:val="20"/>
        </w:rPr>
        <w:t>otych</w:t>
      </w:r>
    </w:p>
    <w:tbl>
      <w:tblPr>
        <w:tblStyle w:val="TableNormal"/>
        <w:tblW w:w="14795" w:type="dxa"/>
        <w:jc w:val="center"/>
        <w:tblInd w:w="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567"/>
        <w:gridCol w:w="1276"/>
        <w:gridCol w:w="1701"/>
        <w:gridCol w:w="1701"/>
        <w:gridCol w:w="1701"/>
        <w:gridCol w:w="1701"/>
        <w:gridCol w:w="1985"/>
        <w:gridCol w:w="2126"/>
        <w:gridCol w:w="2037"/>
      </w:tblGrid>
      <w:tr>
        <w:tblPrEx>
          <w:tblW w:w="14795" w:type="dxa"/>
          <w:jc w:val="center"/>
          <w:tblInd w:w="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Ex>
        <w:trPr>
          <w:trHeight w:val="624"/>
          <w:jc w:val="center"/>
        </w:trPr>
        <w:tc>
          <w:tcPr>
            <w:tcW w:w="567" w:type="dxa"/>
            <w:vMerge w:val="restart"/>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p>
        </w:tc>
        <w:tc>
          <w:tcPr>
            <w:tcW w:w="1276"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2024</w:t>
            </w:r>
          </w:p>
        </w:tc>
        <w:tc>
          <w:tcPr>
            <w:tcW w:w="3402" w:type="dxa"/>
            <w:gridSpan w:val="2"/>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 xml:space="preserve">2025 – pierwotne </w:t>
              <w:br/>
              <w:t>wg stanu na 10.2025</w:t>
            </w:r>
          </w:p>
        </w:tc>
        <w:tc>
          <w:tcPr>
            <w:tcW w:w="3402" w:type="dxa"/>
            <w:gridSpan w:val="2"/>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2025 – po korekcie MF</w:t>
            </w:r>
          </w:p>
        </w:tc>
        <w:tc>
          <w:tcPr>
            <w:tcW w:w="6148" w:type="dxa"/>
            <w:gridSpan w:val="3"/>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2026</w:t>
            </w:r>
          </w:p>
        </w:tc>
      </w:tr>
      <w:tr>
        <w:tblPrEx>
          <w:tblW w:w="14795" w:type="dxa"/>
          <w:jc w:val="center"/>
          <w:tblInd w:w="568" w:type="dxa"/>
          <w:tblLayout w:type="fixed"/>
          <w:tblCellMar>
            <w:left w:w="70" w:type="dxa"/>
            <w:right w:w="70" w:type="dxa"/>
          </w:tblCellMar>
          <w:tblLook w:val="04A0"/>
        </w:tblPrEx>
        <w:trPr>
          <w:trHeight w:val="633"/>
          <w:jc w:val="center"/>
        </w:trPr>
        <w:tc>
          <w:tcPr>
            <w:tcW w:w="567" w:type="dxa"/>
            <w:vMerge/>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p>
        </w:tc>
        <w:tc>
          <w:tcPr>
            <w:tcW w:w="1276"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Kwota</w:t>
            </w:r>
          </w:p>
        </w:tc>
        <w:tc>
          <w:tcPr>
            <w:tcW w:w="1701"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Kwota</w:t>
            </w:r>
          </w:p>
        </w:tc>
        <w:tc>
          <w:tcPr>
            <w:tcW w:w="1701"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Przyrost/spadek</w:t>
            </w:r>
          </w:p>
        </w:tc>
        <w:tc>
          <w:tcPr>
            <w:tcW w:w="1701"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Kwota</w:t>
            </w:r>
          </w:p>
        </w:tc>
        <w:tc>
          <w:tcPr>
            <w:tcW w:w="1701"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Przyrost/spadek względem 2024</w:t>
            </w:r>
          </w:p>
        </w:tc>
        <w:tc>
          <w:tcPr>
            <w:tcW w:w="1985"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Kwota</w:t>
            </w:r>
          </w:p>
        </w:tc>
        <w:tc>
          <w:tcPr>
            <w:tcW w:w="2126"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 xml:space="preserve">Przyrost/spadek względem 2025 </w:t>
            </w:r>
          </w:p>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plan pierwotny</w:t>
            </w:r>
          </w:p>
        </w:tc>
        <w:tc>
          <w:tcPr>
            <w:tcW w:w="2037" w:type="dxa"/>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 xml:space="preserve">Przyrost/spadek względem 2025 </w:t>
            </w:r>
          </w:p>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plan po korekcie MF</w:t>
            </w:r>
          </w:p>
        </w:tc>
      </w:tr>
      <w:tr>
        <w:tblPrEx>
          <w:tblW w:w="14795" w:type="dxa"/>
          <w:jc w:val="center"/>
          <w:tblInd w:w="568" w:type="dxa"/>
          <w:tblLayout w:type="fixed"/>
          <w:tblCellMar>
            <w:left w:w="70" w:type="dxa"/>
            <w:right w:w="70" w:type="dxa"/>
          </w:tblCellMar>
          <w:tblLook w:val="04A0"/>
        </w:tblPrEx>
        <w:trPr>
          <w:trHeight w:val="288"/>
          <w:jc w:val="center"/>
        </w:trPr>
        <w:tc>
          <w:tcPr>
            <w:tcW w:w="56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PIT</w:t>
            </w:r>
          </w:p>
        </w:tc>
        <w:tc>
          <w:tcPr>
            <w:tcW w:w="1276"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253 103 685</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624 897 335</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371 793 650</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624 897 335</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371 793 650</w:t>
            </w:r>
          </w:p>
        </w:tc>
        <w:tc>
          <w:tcPr>
            <w:tcW w:w="1985"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681 104 624</w:t>
            </w:r>
          </w:p>
        </w:tc>
        <w:tc>
          <w:tcPr>
            <w:tcW w:w="2126"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56 207 289</w:t>
            </w:r>
          </w:p>
        </w:tc>
        <w:tc>
          <w:tcPr>
            <w:tcW w:w="2037" w:type="dxa"/>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56 207 289</w:t>
            </w:r>
          </w:p>
        </w:tc>
      </w:tr>
      <w:tr>
        <w:tblPrEx>
          <w:tblW w:w="14795" w:type="dxa"/>
          <w:jc w:val="center"/>
          <w:tblInd w:w="568" w:type="dxa"/>
          <w:tblLayout w:type="fixed"/>
          <w:tblCellMar>
            <w:left w:w="70" w:type="dxa"/>
            <w:right w:w="70" w:type="dxa"/>
          </w:tblCellMar>
          <w:tblLook w:val="04A0"/>
        </w:tblPrEx>
        <w:trPr>
          <w:trHeight w:val="288"/>
          <w:jc w:val="center"/>
        </w:trPr>
        <w:tc>
          <w:tcPr>
            <w:tcW w:w="56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CIT</w:t>
            </w:r>
          </w:p>
        </w:tc>
        <w:tc>
          <w:tcPr>
            <w:tcW w:w="1276"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14 813 197</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13 423 872</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-1 389 325</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22 500 458</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7 687 261</w:t>
            </w:r>
          </w:p>
        </w:tc>
        <w:tc>
          <w:tcPr>
            <w:tcW w:w="1985"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16 281 582</w:t>
            </w:r>
          </w:p>
        </w:tc>
        <w:tc>
          <w:tcPr>
            <w:tcW w:w="2126"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2 857 710</w:t>
            </w:r>
          </w:p>
        </w:tc>
        <w:tc>
          <w:tcPr>
            <w:tcW w:w="2037" w:type="dxa"/>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-6 218 876</w:t>
            </w:r>
          </w:p>
        </w:tc>
      </w:tr>
    </w:tbl>
    <w:p>
      <w:pPr>
        <w:keepNext w:val="0"/>
        <w:keepLines w:val="0"/>
        <w:widowControl/>
        <w:suppressLineNumbers w:val="0"/>
        <w:shd w:val="clear" w:color="auto" w:fill="auto"/>
        <w:suppressAutoHyphens w:val="0"/>
        <w:spacing w:before="24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Należy przy tym potwierdzić, iż miasto Bytom nie jest jedynym samorządem, który doznał tak znaczących korekt w tym zakresie wpływających negatywnie na jego sytuację finansową. Korekty są znaczące, często wielomilionowe, a to prowadzi do wniosku o braku stabilności przyjętych założeń ustawowych. Idea była inna, gdyż z uzasadnienia tej ustawy wynikało, iż:</w:t>
      </w:r>
    </w:p>
    <w:p>
      <w:pPr>
        <w:keepNext w:val="0"/>
        <w:keepLines w:val="0"/>
        <w:widowControl/>
        <w:suppressLineNumbers w:val="0"/>
        <w:shd w:val="clear" w:color="auto" w:fill="auto"/>
        <w:suppressAutoHyphens w:val="0"/>
        <w:spacing w:before="0" w:beforeAutospacing="0" w:after="120" w:afterAutospacing="0" w:line="240" w:lineRule="auto"/>
        <w:ind w:left="0" w:right="0" w:firstLine="0"/>
        <w:contextualSpacing w:val="0"/>
        <w:jc w:val="both"/>
        <w:rPr>
          <w:rFonts w:eastAsia="Times New Roman" w:cs="Times New Roman"/>
          <w:i/>
          <w:szCs w:val="20"/>
          <w:lang w:bidi="ar-SA"/>
        </w:rPr>
      </w:pPr>
      <w:r>
        <w:rPr>
          <w:rFonts w:eastAsia="Times New Roman" w:cs="Times New Roman"/>
          <w:i/>
          <w:szCs w:val="20"/>
          <w:lang w:bidi="ar-SA"/>
        </w:rPr>
        <w:t>„Potrzeba i cel uchwalenia ustawy</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i/>
          <w:szCs w:val="20"/>
          <w:lang w:bidi="ar-SA"/>
        </w:rPr>
      </w:pPr>
      <w:r>
        <w:rPr>
          <w:rFonts w:eastAsia="Times New Roman" w:cs="Times New Roman"/>
          <w:i/>
          <w:szCs w:val="20"/>
          <w:lang w:bidi="ar-SA"/>
        </w:rPr>
        <w:t>Projekt ustawy o dochodach jednostek samorządu terytorialnego (dalej: projekt) ma na celu wprowadzenie do porządku prawnego regulacji zapewniających stabilny system finansowania jednostek samorządu terytorialnego (dalej: JST). Samorządy odpowiadają bowiem za świadczenie większości podstawowych usług publicznych dla mieszkańców.[…]”.</w:t>
      </w:r>
    </w:p>
    <w:p>
      <w:pPr>
        <w:keepNext w:val="0"/>
        <w:keepLines w:val="0"/>
        <w:widowControl/>
        <w:suppressLineNumbers w:val="0"/>
        <w:shd w:val="clear" w:color="auto" w:fill="auto"/>
        <w:suppressAutoHyphens w:val="0"/>
        <w:spacing w:before="24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Niezależnie od powyższego w kolejnych latach analizy (2030-2046) przyjęto przyrost zgodny z dynamiką cen określoną w wytycznych dotyczących stosowania jednolitych wskaźników makroekonomicznych, będących podstawą oszacowania skutków finansowych projektowanych ustaw, tj. na poziomie prezentowanego wskaźnika dynamiki średniorocznej towarów i usług konsumpcyjnych (CPI).</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W uzupełnieniu objaśnień do punktu 1.1.1 i 1.1.2 należy dodać, iż ustawa o dochodach JST z dnia 1 października 2024 r. wprowadziła nową kategorię jednostki samorządu terytorialnego – miasta na prawach powiatu. Zmiana ta osłabiła pozycję niektórych miast, uznanych za miasta zamożne w porównaniu z gminami i powiatami.</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Stało się to poprzez przyznanie im procentowego udziału w dochodach podatników podatku dochodowego PIT i CIT na poziomie niższym od sumy udziałów gmin i powiatów. Należy podkreślić, że do końca 2024 r. udziały stanowiły sumę należną gminie i powiatowi. Obecnie ustawa reguluje dla miast na prawach powiatu udział w podatku dochodowym od osób fizycznych oraz podatku dochodowym od osób prawnych odpowiednio na poziomie 8,6% oraz 2,2%, natomiast w przypadku zsumowania wysokość udziałów dla gmin i powiatów wynosiłyby one 9% i 3,3%. Z uwagi na fakt realizacji przez miasta na prawach powiatu zadań zarówno gminnych jak i powiatowych, a często nawet wojewódzkich i krajowych (jak np. zakres utrzymania dróg) winny one otrzymywać zarówno część gminną, jak i powiatową, tj. 9% udziału w PIT oraz 3,3% udziału w CIT, co wielokrotnie podkreślano w korespondencji kierowanej do parlamentarzystów, Związku Miast Polskich i prezentowano w trakcie prac Komisji Skarbników Śląskiego Związku Gmin i Powiatów oraz Komisji Finansów Związku Miast Polski.</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b/>
          <w:szCs w:val="20"/>
          <w:lang w:bidi="ar-SA"/>
        </w:rPr>
      </w:pPr>
      <w:r>
        <w:rPr>
          <w:rFonts w:eastAsia="Times New Roman" w:cs="Times New Roman"/>
          <w:b/>
          <w:szCs w:val="20"/>
          <w:lang w:bidi="ar-SA"/>
        </w:rPr>
        <w:t>1.1.3. Subwencja ogólna</w:t>
      </w:r>
    </w:p>
    <w:p>
      <w:pPr>
        <w:keepNext w:val="0"/>
        <w:keepLines w:val="0"/>
        <w:widowControl/>
        <w:suppressLineNumbers w:val="0"/>
        <w:shd w:val="clear" w:color="auto" w:fill="auto"/>
        <w:suppressAutoHyphens w:val="0"/>
        <w:spacing w:before="120" w:beforeAutospacing="0" w:after="240" w:afterAutospacing="0" w:line="240" w:lineRule="auto"/>
        <w:ind w:left="0" w:right="0" w:firstLine="0"/>
        <w:contextualSpacing w:val="0"/>
        <w:jc w:val="both"/>
        <w:rPr>
          <w:rFonts w:eastAsia="Times New Roman" w:cs="Times New Roman"/>
          <w:b/>
          <w:szCs w:val="20"/>
          <w:lang w:bidi="ar-SA"/>
        </w:rPr>
      </w:pPr>
      <w:r>
        <w:rPr>
          <w:rFonts w:eastAsia="Times New Roman" w:cs="Times New Roman"/>
          <w:szCs w:val="20"/>
          <w:lang w:bidi="ar-SA"/>
        </w:rPr>
        <w:t>Wysokość subwencji na 2026 rok przyjęto w wartościach ustalonych przez MF w informacji nr ST3.4750.27.2025 z 14 października 2025 r.</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 xml:space="preserve">W zakresie subwencji ogólnej z budżetu państwa wprowadzono kolejną znaczącą zmianę dotyczącą zasad jej naliczania i przyznawania. Poziom subwencji dla Bytomia oszacowano na podstawie art. 31 ustawy o dochodach jst w związku z art. 23-30 po uprzednim wyliczeniu potrzeb finansowych i kwoty kalkulacyjnej. </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 xml:space="preserve">Z informacji przekazanej przez MF wynika rażący spadek subwencji względem roku 2025, będący skutkiem spadku potrzeb finansowych, a w szczególności potrzeb wyrównawczych, które poprzez zawyżenie wskaźnika zamożności dla miasta na rok 2026 wyliczono na poziomie 0 zł. </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Na powyższy spadek miała również wpływ aktualizacja kwot w zakresie CIT na rok 2025 dokonana przez MF, której skutkiem okazało się podwyższenie kwoty kalkulacyjnej, która po waloryzacji określonej przepisami ustawy determinuje wysokość subwencji ogólnej po odjęciu potrzeb wydatkowych.</w:t>
      </w:r>
    </w:p>
    <w:p>
      <w:pPr>
        <w:keepNext w:val="0"/>
        <w:keepLines w:val="0"/>
        <w:widowControl/>
        <w:suppressLineNumbers w:val="0"/>
        <w:shd w:val="clear" w:color="auto" w:fill="auto"/>
        <w:suppressAutoHyphens w:val="0"/>
        <w:spacing w:before="24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Zgodnie z przepisami art. 31 ust. 1 ustawy o dochodach jst subwencję ogólną dla jednostki samorządu terytorialnego na rok budżetowy ustala się w wysokości subwencji z roku poprzedzającego rok budżetowy powiększonej – w przypadku gdy różnica pomiędzy potrzebami finansowymi w roku budżetowym a tymi potrzebami w roku poprzedzającym rok budżetowy jest wyższa niż różnica między kwotą kalkulacyjną w roku budżetowym a tą kwotą w roku poprzedzającym rok budżetowy o wysokość odpowiadającą różnicy między tymi kwotami lub pomniejszonej – w przypadku gdy różnica pomiędzy kwotą kalkulacyjną w roku budżetowym a tą kwotą w roku poprzedzającym rok budżetowy, jest wyższa niż różnica między potrzebami finansowymi w roku budżetowym a tymi potrzebami w roku poprzedzającym rok budżetowy – o wysokość odpowiadającą różnicy między tymi kwotami.</w:t>
      </w:r>
    </w:p>
    <w:p>
      <w:pPr>
        <w:keepNext w:val="0"/>
        <w:keepLines w:val="0"/>
        <w:widowControl/>
        <w:suppressLineNumbers w:val="0"/>
        <w:shd w:val="clear" w:color="auto" w:fill="FFFFFF"/>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Natomiast zgodnie z art. 31 ust. 2 ustawy kwota kalkulacyjna w roku budżetowym dla jednostki samorządu terytorialnego jest iloczynem kwoty kalkulacyjnej tej jednostki z roku poprzedzającego rok budżetowy i wskaźnika ustalonego jako iloraz jej dochodów z tytułu udziału w podatku dochodowym od osób fizycznych i podatku dochodowym od osób prawnych z roku budżetowego i jej dochodów z tych tytułów z roku poprzedzającego rok budżetowy.</w:t>
      </w:r>
    </w:p>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Poniżej przedstawiono wyliczenia, które kwotowo przedstawiają niniejszą problematykę:</w:t>
      </w:r>
    </w:p>
    <w:p>
      <w:pPr>
        <w:keepNext w:val="0"/>
        <w:keepLines w:val="0"/>
        <w:widowControl/>
        <w:suppressLineNumbers w:val="0"/>
        <w:shd w:val="clear" w:color="auto" w:fill="auto"/>
        <w:suppressAutoHyphens w:val="0"/>
        <w:spacing w:before="0" w:beforeAutospacing="0" w:after="0" w:afterAutospacing="0" w:line="240" w:lineRule="auto"/>
        <w:ind w:left="0" w:right="0" w:firstLine="357"/>
        <w:contextualSpacing w:val="0"/>
        <w:jc w:val="right"/>
        <w:rPr>
          <w:rFonts w:eastAsia="Times New Roman" w:cs="Times New Roman"/>
          <w:sz w:val="16"/>
          <w:szCs w:val="20"/>
          <w:lang w:bidi="ar-SA"/>
        </w:rPr>
      </w:pPr>
      <w:r>
        <w:rPr>
          <w:rFonts w:eastAsia="Times New Roman" w:cs="Times New Roman"/>
          <w:sz w:val="16"/>
          <w:szCs w:val="20"/>
          <w:lang w:bidi="ar-SA"/>
        </w:rPr>
        <w:t>kwota w zł</w:t>
      </w:r>
      <w:r>
        <w:rPr>
          <w:rFonts w:eastAsia="Times New Roman" w:cs="Times New Roman"/>
          <w:sz w:val="16"/>
          <w:szCs w:val="20"/>
        </w:rPr>
        <w:t>otych</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1119"/>
        <w:gridCol w:w="1531"/>
        <w:gridCol w:w="1531"/>
        <w:gridCol w:w="1597"/>
        <w:gridCol w:w="1531"/>
        <w:gridCol w:w="1974"/>
        <w:gridCol w:w="1844"/>
        <w:gridCol w:w="1904"/>
        <w:gridCol w:w="1904"/>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Ex>
        <w:trPr>
          <w:trHeight w:val="340"/>
          <w:jc w:val="center"/>
        </w:trPr>
        <w:tc>
          <w:tcPr>
            <w:tcW w:w="1119" w:type="dxa"/>
            <w:vMerge w:val="restart"/>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p>
        </w:tc>
        <w:tc>
          <w:tcPr>
            <w:tcW w:w="1531"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2024</w:t>
            </w:r>
          </w:p>
        </w:tc>
        <w:tc>
          <w:tcPr>
            <w:tcW w:w="3128" w:type="dxa"/>
            <w:gridSpan w:val="2"/>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2025 – pierwotne</w:t>
            </w:r>
          </w:p>
        </w:tc>
        <w:tc>
          <w:tcPr>
            <w:tcW w:w="3505" w:type="dxa"/>
            <w:gridSpan w:val="2"/>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2025 – korekta MF</w:t>
            </w:r>
          </w:p>
        </w:tc>
        <w:tc>
          <w:tcPr>
            <w:tcW w:w="5652" w:type="dxa"/>
            <w:gridSpan w:val="3"/>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2026</w:t>
            </w:r>
          </w:p>
        </w:tc>
      </w:tr>
      <w:tr>
        <w:tblPrEx>
          <w:tblW w:w="0" w:type="auto"/>
          <w:jc w:val="center"/>
          <w:tblLayout w:type="fixed"/>
          <w:tblCellMar>
            <w:left w:w="70" w:type="dxa"/>
            <w:right w:w="70" w:type="dxa"/>
          </w:tblCellMar>
          <w:tblLook w:val="04A0"/>
        </w:tblPrEx>
        <w:trPr>
          <w:trHeight w:val="340"/>
          <w:jc w:val="center"/>
        </w:trPr>
        <w:tc>
          <w:tcPr>
            <w:tcW w:w="1119" w:type="dxa"/>
            <w:vMerge/>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p>
        </w:tc>
        <w:tc>
          <w:tcPr>
            <w:tcW w:w="1531"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Kwota</w:t>
            </w:r>
          </w:p>
        </w:tc>
        <w:tc>
          <w:tcPr>
            <w:tcW w:w="1531"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Kwota</w:t>
            </w:r>
          </w:p>
        </w:tc>
        <w:tc>
          <w:tcPr>
            <w:tcW w:w="1597"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Przyrost/spadek</w:t>
            </w:r>
          </w:p>
        </w:tc>
        <w:tc>
          <w:tcPr>
            <w:tcW w:w="1531"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Kwota</w:t>
            </w:r>
          </w:p>
        </w:tc>
        <w:tc>
          <w:tcPr>
            <w:tcW w:w="1974"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Przyrost/spadek</w:t>
            </w:r>
          </w:p>
        </w:tc>
        <w:tc>
          <w:tcPr>
            <w:tcW w:w="1844"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Kwota</w:t>
            </w:r>
          </w:p>
        </w:tc>
        <w:tc>
          <w:tcPr>
            <w:tcW w:w="1904"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Przyrost/spadek względem planu na 01.01.2025</w:t>
            </w:r>
          </w:p>
        </w:tc>
        <w:tc>
          <w:tcPr>
            <w:tcW w:w="1904"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Przyrost/spadek względem planu na 30.09.2025</w:t>
            </w:r>
          </w:p>
        </w:tc>
      </w:tr>
      <w:tr>
        <w:tblPrEx>
          <w:tblW w:w="0" w:type="auto"/>
          <w:jc w:val="center"/>
          <w:tblLayout w:type="fixed"/>
          <w:tblCellMar>
            <w:left w:w="70" w:type="dxa"/>
            <w:right w:w="70" w:type="dxa"/>
          </w:tblCellMar>
          <w:tblLook w:val="04A0"/>
        </w:tblPrEx>
        <w:trPr>
          <w:trHeight w:val="283"/>
          <w:jc w:val="center"/>
        </w:trPr>
        <w:tc>
          <w:tcPr>
            <w:tcW w:w="1119"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PIT</w:t>
            </w:r>
          </w:p>
        </w:tc>
        <w:tc>
          <w:tcPr>
            <w:tcW w:w="153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253 103 685</w:t>
            </w:r>
          </w:p>
        </w:tc>
        <w:tc>
          <w:tcPr>
            <w:tcW w:w="153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624 897 335,00</w:t>
            </w:r>
          </w:p>
        </w:tc>
        <w:tc>
          <w:tcPr>
            <w:tcW w:w="159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371 793 650,00</w:t>
            </w:r>
          </w:p>
        </w:tc>
        <w:tc>
          <w:tcPr>
            <w:tcW w:w="153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624 897 335,01</w:t>
            </w:r>
          </w:p>
        </w:tc>
        <w:tc>
          <w:tcPr>
            <w:tcW w:w="1974"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371 793 650,01</w:t>
            </w:r>
          </w:p>
        </w:tc>
        <w:tc>
          <w:tcPr>
            <w:tcW w:w="1844"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681 104 624,27</w:t>
            </w:r>
          </w:p>
        </w:tc>
        <w:tc>
          <w:tcPr>
            <w:tcW w:w="1904"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56 207 289,27</w:t>
            </w:r>
          </w:p>
        </w:tc>
        <w:tc>
          <w:tcPr>
            <w:tcW w:w="1904"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56 207 289,27</w:t>
            </w:r>
          </w:p>
        </w:tc>
      </w:tr>
      <w:tr>
        <w:tblPrEx>
          <w:tblW w:w="0" w:type="auto"/>
          <w:jc w:val="center"/>
          <w:tblLayout w:type="fixed"/>
          <w:tblCellMar>
            <w:left w:w="70" w:type="dxa"/>
            <w:right w:w="70" w:type="dxa"/>
          </w:tblCellMar>
          <w:tblLook w:val="04A0"/>
        </w:tblPrEx>
        <w:trPr>
          <w:trHeight w:val="283"/>
          <w:jc w:val="center"/>
        </w:trPr>
        <w:tc>
          <w:tcPr>
            <w:tcW w:w="1119"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CIT</w:t>
            </w:r>
          </w:p>
        </w:tc>
        <w:tc>
          <w:tcPr>
            <w:tcW w:w="153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14 813 197</w:t>
            </w:r>
          </w:p>
        </w:tc>
        <w:tc>
          <w:tcPr>
            <w:tcW w:w="153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13 423 872,00</w:t>
            </w:r>
          </w:p>
        </w:tc>
        <w:tc>
          <w:tcPr>
            <w:tcW w:w="159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-1 389 325,00</w:t>
            </w:r>
          </w:p>
        </w:tc>
        <w:tc>
          <w:tcPr>
            <w:tcW w:w="153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22 500 458,05</w:t>
            </w:r>
          </w:p>
        </w:tc>
        <w:tc>
          <w:tcPr>
            <w:tcW w:w="1974"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7 687 261,05</w:t>
            </w:r>
          </w:p>
        </w:tc>
        <w:tc>
          <w:tcPr>
            <w:tcW w:w="1844"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16 281 582,44</w:t>
            </w:r>
          </w:p>
        </w:tc>
        <w:tc>
          <w:tcPr>
            <w:tcW w:w="1904"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2 857 710,44</w:t>
            </w:r>
          </w:p>
        </w:tc>
        <w:tc>
          <w:tcPr>
            <w:tcW w:w="1904"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2 857 710,44</w:t>
            </w:r>
          </w:p>
        </w:tc>
      </w:tr>
      <w:tr>
        <w:tblPrEx>
          <w:tblW w:w="0" w:type="auto"/>
          <w:jc w:val="center"/>
          <w:tblLayout w:type="fixed"/>
          <w:tblCellMar>
            <w:left w:w="70" w:type="dxa"/>
            <w:right w:w="70" w:type="dxa"/>
          </w:tblCellMar>
          <w:tblLook w:val="04A0"/>
        </w:tblPrEx>
        <w:trPr>
          <w:trHeight w:val="283"/>
          <w:jc w:val="center"/>
        </w:trPr>
        <w:tc>
          <w:tcPr>
            <w:tcW w:w="1119"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Subwencja</w:t>
            </w:r>
          </w:p>
        </w:tc>
        <w:tc>
          <w:tcPr>
            <w:tcW w:w="153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417 339 724</w:t>
            </w:r>
          </w:p>
        </w:tc>
        <w:tc>
          <w:tcPr>
            <w:tcW w:w="153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128 296 686,06</w:t>
            </w:r>
          </w:p>
        </w:tc>
        <w:tc>
          <w:tcPr>
            <w:tcW w:w="159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-289 043 037,94</w:t>
            </w:r>
          </w:p>
        </w:tc>
        <w:tc>
          <w:tcPr>
            <w:tcW w:w="153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119 066 034,09</w:t>
            </w:r>
          </w:p>
        </w:tc>
        <w:tc>
          <w:tcPr>
            <w:tcW w:w="1974"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-298 273 689,91</w:t>
            </w:r>
          </w:p>
        </w:tc>
        <w:tc>
          <w:tcPr>
            <w:tcW w:w="1844"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66 650 489,57</w:t>
            </w:r>
          </w:p>
        </w:tc>
        <w:tc>
          <w:tcPr>
            <w:tcW w:w="1904"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-61 646 196,49</w:t>
            </w:r>
          </w:p>
        </w:tc>
        <w:tc>
          <w:tcPr>
            <w:tcW w:w="1904"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-76 664 760,49</w:t>
            </w:r>
          </w:p>
        </w:tc>
      </w:tr>
      <w:tr>
        <w:tblPrEx>
          <w:tblW w:w="0" w:type="auto"/>
          <w:jc w:val="center"/>
          <w:tblLayout w:type="fixed"/>
          <w:tblCellMar>
            <w:left w:w="70" w:type="dxa"/>
            <w:right w:w="70" w:type="dxa"/>
          </w:tblCellMar>
          <w:tblLook w:val="04A0"/>
        </w:tblPrEx>
        <w:trPr>
          <w:trHeight w:val="283"/>
          <w:jc w:val="center"/>
        </w:trPr>
        <w:tc>
          <w:tcPr>
            <w:tcW w:w="1119" w:type="dxa"/>
            <w:shd w:val="clear" w:color="auto" w:fill="F2F2F2"/>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RAZEM</w:t>
            </w:r>
          </w:p>
        </w:tc>
        <w:tc>
          <w:tcPr>
            <w:tcW w:w="1531" w:type="dxa"/>
            <w:shd w:val="clear" w:color="auto" w:fill="F2F2F2"/>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685 256 606,00</w:t>
            </w:r>
          </w:p>
        </w:tc>
        <w:tc>
          <w:tcPr>
            <w:tcW w:w="1531" w:type="dxa"/>
            <w:shd w:val="clear" w:color="auto" w:fill="F2F2F2"/>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766 617 893,06</w:t>
            </w:r>
          </w:p>
        </w:tc>
        <w:tc>
          <w:tcPr>
            <w:tcW w:w="1597" w:type="dxa"/>
            <w:shd w:val="clear" w:color="auto" w:fill="F2F2F2"/>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81 361 287,06</w:t>
            </w:r>
          </w:p>
        </w:tc>
        <w:tc>
          <w:tcPr>
            <w:tcW w:w="1531" w:type="dxa"/>
            <w:shd w:val="clear" w:color="auto" w:fill="F2F2F2"/>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766 463 827,15</w:t>
            </w:r>
          </w:p>
        </w:tc>
        <w:tc>
          <w:tcPr>
            <w:tcW w:w="1974" w:type="dxa"/>
            <w:shd w:val="clear" w:color="auto" w:fill="F2F2F2"/>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81 207 221,15</w:t>
            </w:r>
          </w:p>
        </w:tc>
        <w:tc>
          <w:tcPr>
            <w:tcW w:w="1844" w:type="dxa"/>
            <w:shd w:val="clear" w:color="auto" w:fill="F2F2F2"/>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764 036 696,28</w:t>
            </w:r>
          </w:p>
        </w:tc>
        <w:tc>
          <w:tcPr>
            <w:tcW w:w="1904" w:type="dxa"/>
            <w:shd w:val="clear" w:color="auto" w:fill="F2F2F2"/>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-2 581 196,78</w:t>
            </w:r>
          </w:p>
        </w:tc>
        <w:tc>
          <w:tcPr>
            <w:tcW w:w="1904" w:type="dxa"/>
            <w:shd w:val="clear" w:color="auto" w:fill="F2F2F2"/>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-17 599 760,78</w:t>
            </w:r>
          </w:p>
        </w:tc>
      </w:tr>
    </w:tbl>
    <w:p>
      <w:pPr>
        <w:keepNext w:val="0"/>
        <w:keepLines w:val="0"/>
        <w:widowControl/>
        <w:suppressLineNumbers w:val="0"/>
        <w:shd w:val="clear" w:color="auto" w:fill="auto"/>
        <w:suppressAutoHyphens w:val="0"/>
        <w:spacing w:before="24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Porównanie poziomu dochodów jednostek samorządu terytorialnego w powyższym zakresie w odniesieniu do źródeł transferowych z budżetu państwa wskazuje na rażący spadek w roku 2026 względem roku 2025 aż o 17 599 761 zł, co w systemie finansowania samorządów na podstawie ustawy o dochodach jednostek samorządu terytorialnego od dnia wejścia w życie ustawy w 2003r. zdarzyło się po raz pierwszy. Poprzedni system określający dochody samorządów, obowiązujący do roku 2024, umożliwiał rokroczne wzrosty dochodów miasta Bytomia. Było tak nawet w okresie pandemii COVID-19 oraz na początku konfliktu zbrojnego w Ukrainie.</w:t>
      </w:r>
    </w:p>
    <w:p>
      <w:pPr>
        <w:keepNext w:val="0"/>
        <w:keepLines w:val="0"/>
        <w:widowControl/>
        <w:suppressLineNumbers w:val="0"/>
        <w:shd w:val="clear" w:color="auto" w:fill="FFFFFF"/>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Przyczyny obniżenia planowanych dochodów miasta opisano szczegółowo poniżej wskazując kalkulację potrzeb wyrównawczych oraz indywidualnego wskaźnika zamożności. Wysokość potrzeb finansowych niezbędnych do wyliczenia wartości należnej miastu subwencji na rok 2026 przyjęto finalnie zgodnie z pismem MF. Natomiast kalkulacji potrzeb finansowych na lata 2027-2029 dokonano indywidualnie w odniesieniu do poszczególnych potrzeb, określonych w ustawie o dochodach jednostek samorządu terytorialnego, opisując je szczegółowo poniżej.</w:t>
      </w:r>
    </w:p>
    <w:p>
      <w:pPr>
        <w:keepNext w:val="0"/>
        <w:keepLines w:val="0"/>
        <w:widowControl/>
        <w:suppressLineNumbers w:val="0"/>
        <w:shd w:val="clear" w:color="auto" w:fill="FFFFFF"/>
        <w:suppressAutoHyphens w:val="0"/>
        <w:spacing w:before="0" w:beforeAutospacing="0" w:after="240" w:afterAutospacing="0" w:line="240" w:lineRule="auto"/>
        <w:ind w:left="0" w:right="0" w:firstLine="0"/>
        <w:contextualSpacing w:val="0"/>
        <w:jc w:val="both"/>
        <w:rPr>
          <w:rFonts w:eastAsia="Times New Roman" w:cs="Times New Roman"/>
          <w:b/>
          <w:szCs w:val="20"/>
          <w:lang w:bidi="ar-SA"/>
        </w:rPr>
      </w:pPr>
      <w:r>
        <w:rPr>
          <w:rFonts w:eastAsia="Times New Roman" w:cs="Times New Roman"/>
          <w:b/>
          <w:szCs w:val="20"/>
          <w:lang w:bidi="ar-SA"/>
        </w:rPr>
        <w:t xml:space="preserve">1) POTRZEBY WYRÓWNAWCZE </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b/>
          <w:szCs w:val="20"/>
          <w:lang w:bidi="ar-SA"/>
        </w:rPr>
      </w:pPr>
      <w:r>
        <w:rPr>
          <w:rFonts w:eastAsia="Times New Roman" w:cs="Times New Roman"/>
          <w:b/>
          <w:szCs w:val="20"/>
          <w:lang w:bidi="ar-SA"/>
        </w:rPr>
        <w:t>PRZELICZENIOWA LICZBA LUDNOŚCI I MECHANIZM „WYRÓWNAWCZY”</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Obowiązująca od 1 stycznia 2025 roku ustawa o dochodach jednostek samorządu terytorialnego odnosi się między innymi do pozyskiwanych przez Główny Urząd Statystyczny danych, dostępnych na stronie Urzędu według stanu na dzień 31 maja danego roku</w:t>
      </w:r>
      <w:bookmarkStart w:id="0" w:name="_Ref213663263"/>
      <w:r>
        <w:rPr>
          <w:rFonts w:eastAsia="Times New Roman" w:cs="Times New Roman"/>
          <w:szCs w:val="20"/>
          <w:vertAlign w:val="superscript"/>
          <w:lang w:bidi="ar-SA"/>
        </w:rPr>
        <w:footnoteReference w:id="3"/>
      </w:r>
      <w:bookmarkEnd w:id="0"/>
      <w:r>
        <w:rPr>
          <w:rFonts w:eastAsia="Times New Roman" w:cs="Times New Roman"/>
          <w:szCs w:val="20"/>
          <w:lang w:bidi="ar-SA"/>
        </w:rPr>
        <w:t xml:space="preserve">. </w:t>
      </w:r>
      <w:r>
        <w:rPr>
          <w:rFonts w:eastAsia="Times New Roman" w:cs="Times New Roman"/>
          <w:b/>
          <w:szCs w:val="20"/>
          <w:u w:val="single"/>
          <w:lang w:bidi="ar-SA"/>
        </w:rPr>
        <w:t>Dane te są gromadzone przez GUS na podstawie ustawy o statystyce z 1995 r</w:t>
      </w:r>
      <w:r>
        <w:rPr>
          <w:rFonts w:eastAsia="Times New Roman" w:cs="Times New Roman"/>
          <w:szCs w:val="20"/>
          <w:lang w:bidi="ar-SA"/>
        </w:rPr>
        <w:t>. i zostały udostępnione przez MF. Po analizie danych udostępnionych przez MF nasuwa się wniosek, że ze względu na duże pole interpretacyjne instrukcji do sprawozdań sporządzanych dla GUS, podmioty zobowiązane do składania przedmiotowych sprawozdań sporządzają je według własnego uznania. Należy podkreślić, że gromadzone dane przekładają się na wartości determinant, które wg algorytmów ustawowych po nadaniu im wag określonych przepisami ustawy wskazują na przeliczeniowe, a nie rzeczywiste wartości determinujące kwoty należnych Bytomiowi dochodów z budżetu państwa.</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 xml:space="preserve">Między innymi na tej podstawie ustalane są zgodnie z ustawą o dochodach jednostek samorządu terytorialnego tzw. determinanty, a ich wartości wpływają na tzw. PRZELICZENIOWĄ LICZBĘ LUDNOŚCI. </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b/>
          <w:szCs w:val="20"/>
          <w:u w:val="single"/>
          <w:lang w:bidi="ar-SA"/>
        </w:rPr>
      </w:pPr>
      <w:r>
        <w:rPr>
          <w:rFonts w:eastAsia="Times New Roman" w:cs="Times New Roman"/>
          <w:szCs w:val="20"/>
          <w:lang w:bidi="ar-SA"/>
        </w:rPr>
        <w:t xml:space="preserve">Dla Bytomia przy rzeczywistej liczbie ludności na dzień 31 grudnia 2023r. podanej przez GUS wynoszącej 147 759 mieszkańców, liczba przeliczeniowa na 2025 r. wynosi 140 732, a na rok 2026 przy liczbie mieszkańców znanej GUS wg stanu na 31 grudnia 2024r.: </w:t>
      </w:r>
      <w:r>
        <w:rPr>
          <w:rFonts w:eastAsia="Times New Roman" w:cs="Times New Roman"/>
          <w:b/>
          <w:szCs w:val="20"/>
          <w:lang w:bidi="ar-SA"/>
        </w:rPr>
        <w:t>146 290 mieszkańców, liczba przeliczeniowa wyliczona na podstawie algorytmów ustawowych spada znacząco do wartości 128 674.</w:t>
      </w:r>
      <w:r>
        <w:rPr>
          <w:rFonts w:eastAsia="Times New Roman" w:cs="Times New Roman"/>
          <w:b/>
          <w:szCs w:val="20"/>
          <w:u w:val="single"/>
          <w:lang w:bidi="ar-SA"/>
        </w:rPr>
        <w:t xml:space="preserve"> </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PRZELICZENIOWA LICZBA LUDNOŚCI wszystkich miast na prawach powiatu jest tożsama z rzeczywistą. Oznacza to, że w wyniku zastosowania mechanizmu wyrównawczego, system „zabiera” mieszkańców jednym jednostkom a innym „dodaje”. Przeliczeniowa liczba mieszkańców wpływa na wyliczenie wskaźnika zamożności danego samorządu i im jest niższa, tym wskaźnik ten jest wyższy, co plasuje daną JST w gronie tych zamożnych pomimo, że tak nie jest w rzeczywistości.</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b/>
          <w:szCs w:val="20"/>
          <w:lang w:bidi="ar-SA"/>
        </w:rPr>
        <w:t>DETERMINANTY</w:t>
      </w:r>
      <w:r>
        <w:rPr>
          <w:rFonts w:eastAsia="Times New Roman" w:cs="Times New Roman"/>
          <w:szCs w:val="20"/>
          <w:lang w:bidi="ar-SA"/>
        </w:rPr>
        <w:t xml:space="preserve"> </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 xml:space="preserve">Zindeksowane wartości determinant, dla których ustawa określa wagę poszczególnych obszarów wydatkowych wg algorytmów ustawowych wskazują PRZELICZENIOWĄ LICZBĘ LUDNOŚCI. </w:t>
      </w:r>
    </w:p>
    <w:p>
      <w:pPr>
        <w:keepNext w:val="0"/>
        <w:keepLines w:val="0"/>
        <w:widowControl/>
        <w:suppressLineNumbers w:val="0"/>
        <w:shd w:val="clear" w:color="auto" w:fill="auto"/>
        <w:suppressAutoHyphens w:val="0"/>
        <w:spacing w:before="0" w:beforeAutospacing="0" w:after="12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Poniżej wskazano determinanty w poszczególnych obszarach wydatkowych dla MNPP:</w:t>
      </w:r>
    </w:p>
    <w:tbl>
      <w:tblPr>
        <w:tblStyle w:val="TableNormal"/>
        <w:tblW w:w="0" w:type="auto"/>
        <w:jc w:val="center"/>
        <w:tblCellMar>
          <w:left w:w="70" w:type="dxa"/>
          <w:right w:w="70" w:type="dxa"/>
        </w:tblCellMar>
        <w:tblLook w:val="04A0"/>
      </w:tblPr>
      <w:tblGrid>
        <w:gridCol w:w="3187"/>
        <w:gridCol w:w="1330"/>
        <w:gridCol w:w="8304"/>
        <w:gridCol w:w="1975"/>
      </w:tblGrid>
      <w:tr>
        <w:tblPrEx>
          <w:tblW w:w="0" w:type="auto"/>
          <w:jc w:val="center"/>
          <w:tblCellMar>
            <w:left w:w="70" w:type="dxa"/>
            <w:right w:w="70" w:type="dxa"/>
          </w:tblCellMar>
          <w:tblLook w:val="04A0"/>
        </w:tblPrEx>
        <w:trPr>
          <w:cantSplit/>
          <w:trHeight w:val="340"/>
          <w:jc w:val="center"/>
        </w:trPr>
        <w:tc>
          <w:tcPr>
            <w:tcW w:w="3047" w:type="dxa"/>
            <w:tcBorders>
              <w:top w:val="single" w:sz="4" w:space="0" w:color="auto"/>
              <w:left w:val="single" w:sz="4" w:space="0" w:color="auto"/>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18"/>
                <w:szCs w:val="20"/>
                <w:lang w:bidi="ar-SA"/>
              </w:rPr>
            </w:pPr>
            <w:r>
              <w:rPr>
                <w:rFonts w:eastAsia="Times New Roman" w:cs="Times New Roman"/>
                <w:b/>
                <w:sz w:val="18"/>
                <w:szCs w:val="20"/>
                <w:lang w:bidi="ar-SA"/>
              </w:rPr>
              <w:t>Obszar wydatkowy</w:t>
            </w:r>
          </w:p>
        </w:tc>
        <w:tc>
          <w:tcPr>
            <w:tcW w:w="1321" w:type="dxa"/>
            <w:tcBorders>
              <w:top w:val="single" w:sz="4" w:space="0" w:color="auto"/>
              <w:left w:val="nil"/>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18"/>
                <w:szCs w:val="20"/>
                <w:lang w:bidi="ar-SA"/>
              </w:rPr>
            </w:pPr>
            <w:r>
              <w:rPr>
                <w:rFonts w:eastAsia="Times New Roman" w:cs="Times New Roman"/>
                <w:b/>
                <w:sz w:val="18"/>
                <w:szCs w:val="20"/>
                <w:lang w:bidi="ar-SA"/>
              </w:rPr>
              <w:t>Wartość wagi obszaru wydatkowego</w:t>
            </w:r>
          </w:p>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18"/>
                <w:szCs w:val="20"/>
                <w:lang w:bidi="ar-SA"/>
              </w:rPr>
            </w:pPr>
            <w:r>
              <w:rPr>
                <w:rFonts w:eastAsia="Times New Roman" w:cs="Times New Roman"/>
                <w:b/>
                <w:sz w:val="18"/>
                <w:szCs w:val="20"/>
                <w:lang w:bidi="ar-SA"/>
              </w:rPr>
              <w:t>(λf)</w:t>
            </w:r>
          </w:p>
        </w:tc>
        <w:tc>
          <w:tcPr>
            <w:tcW w:w="8164" w:type="dxa"/>
            <w:tcBorders>
              <w:top w:val="single" w:sz="4" w:space="0" w:color="auto"/>
              <w:left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18"/>
                <w:szCs w:val="20"/>
                <w:lang w:bidi="ar-SA"/>
              </w:rPr>
            </w:pPr>
            <w:r>
              <w:rPr>
                <w:rFonts w:eastAsia="Times New Roman" w:cs="Times New Roman"/>
                <w:b/>
                <w:sz w:val="18"/>
                <w:szCs w:val="20"/>
                <w:lang w:bidi="ar-SA"/>
              </w:rPr>
              <w:t>Determinanty wpływające na potrzeby wydatkowe</w:t>
            </w:r>
          </w:p>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18"/>
                <w:szCs w:val="20"/>
                <w:lang w:bidi="ar-SA"/>
              </w:rPr>
            </w:pPr>
            <w:r>
              <w:rPr>
                <w:rFonts w:eastAsia="Times New Roman" w:cs="Times New Roman"/>
                <w:b/>
                <w:sz w:val="18"/>
                <w:szCs w:val="20"/>
                <w:lang w:bidi="ar-SA"/>
              </w:rPr>
              <w:t>w danym obszarze wydatkowym</w:t>
            </w:r>
          </w:p>
        </w:tc>
        <w:tc>
          <w:tcPr>
            <w:tcW w:w="2268" w:type="dxa"/>
            <w:tcBorders>
              <w:top w:val="single" w:sz="4" w:space="0" w:color="auto"/>
              <w:left w:val="nil"/>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18"/>
                <w:szCs w:val="20"/>
                <w:lang w:bidi="ar-SA"/>
              </w:rPr>
            </w:pPr>
            <w:r>
              <w:rPr>
                <w:rFonts w:eastAsia="Times New Roman" w:cs="Times New Roman"/>
                <w:b/>
                <w:sz w:val="18"/>
                <w:szCs w:val="20"/>
                <w:lang w:bidi="ar-SA"/>
              </w:rPr>
              <w:t>Wysokość współczynników regresji dla poszczególnych determinant (β)</w:t>
            </w:r>
          </w:p>
        </w:tc>
      </w:tr>
      <w:tr>
        <w:tblPrEx>
          <w:tblW w:w="0" w:type="auto"/>
          <w:jc w:val="center"/>
          <w:tblCellMar>
            <w:left w:w="70" w:type="dxa"/>
            <w:right w:w="70" w:type="dxa"/>
          </w:tblCellMar>
          <w:tblLook w:val="04A0"/>
        </w:tblPrEx>
        <w:trPr>
          <w:cantSplit/>
          <w:trHeight w:val="340"/>
          <w:jc w:val="center"/>
        </w:trPr>
        <w:tc>
          <w:tcPr>
            <w:tcW w:w="3047" w:type="dxa"/>
            <w:tcBorders>
              <w:top w:val="single" w:sz="4" w:space="0" w:color="auto"/>
              <w:left w:val="single" w:sz="4" w:space="0" w:color="auto"/>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8"/>
                <w:szCs w:val="20"/>
                <w:lang w:bidi="ar-SA"/>
              </w:rPr>
            </w:pPr>
            <w:r>
              <w:rPr>
                <w:rFonts w:eastAsia="Times New Roman" w:cs="Times New Roman"/>
                <w:sz w:val="18"/>
                <w:szCs w:val="20"/>
                <w:lang w:bidi="ar-SA"/>
              </w:rPr>
              <w:t>Transport i łączność</w:t>
            </w:r>
          </w:p>
        </w:tc>
        <w:tc>
          <w:tcPr>
            <w:tcW w:w="1321" w:type="dxa"/>
            <w:tcBorders>
              <w:top w:val="single" w:sz="4" w:space="0" w:color="auto"/>
              <w:left w:val="single" w:sz="4" w:space="0" w:color="auto"/>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8"/>
                <w:szCs w:val="20"/>
                <w:lang w:bidi="ar-SA"/>
              </w:rPr>
            </w:pPr>
            <w:r>
              <w:rPr>
                <w:rFonts w:eastAsia="Times New Roman" w:cs="Times New Roman"/>
                <w:sz w:val="18"/>
                <w:szCs w:val="20"/>
                <w:lang w:bidi="ar-SA"/>
              </w:rPr>
              <w:t>0,18</w:t>
            </w:r>
          </w:p>
        </w:tc>
        <w:tc>
          <w:tcPr>
            <w:tcW w:w="8164" w:type="dxa"/>
            <w:tcBorders>
              <w:top w:val="single" w:sz="4" w:space="0" w:color="auto"/>
              <w:left w:val="single" w:sz="4" w:space="0" w:color="auto"/>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8"/>
                <w:szCs w:val="20"/>
                <w:lang w:bidi="ar-SA"/>
              </w:rPr>
            </w:pPr>
            <w:r>
              <w:rPr>
                <w:rFonts w:eastAsia="Times New Roman" w:cs="Times New Roman"/>
                <w:sz w:val="18"/>
                <w:szCs w:val="20"/>
                <w:lang w:bidi="ar-SA"/>
              </w:rPr>
              <w:t>liczba pracujących ogółem</w:t>
            </w:r>
          </w:p>
        </w:tc>
        <w:tc>
          <w:tcPr>
            <w:tcW w:w="2268" w:type="dxa"/>
            <w:tcBorders>
              <w:top w:val="single" w:sz="4" w:space="0" w:color="auto"/>
              <w:left w:val="single" w:sz="4" w:space="0" w:color="auto"/>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8"/>
                <w:szCs w:val="20"/>
                <w:lang w:bidi="ar-SA"/>
              </w:rPr>
            </w:pPr>
            <w:r>
              <w:rPr>
                <w:rFonts w:eastAsia="Times New Roman" w:cs="Times New Roman"/>
                <w:sz w:val="18"/>
                <w:szCs w:val="20"/>
                <w:lang w:bidi="ar-SA"/>
              </w:rPr>
              <w:t>1</w:t>
            </w:r>
          </w:p>
        </w:tc>
      </w:tr>
      <w:tr>
        <w:tblPrEx>
          <w:tblW w:w="0" w:type="auto"/>
          <w:jc w:val="center"/>
          <w:tblCellMar>
            <w:left w:w="70" w:type="dxa"/>
            <w:right w:w="70" w:type="dxa"/>
          </w:tblCellMar>
          <w:tblLook w:val="04A0"/>
        </w:tblPrEx>
        <w:trPr>
          <w:cantSplit/>
          <w:trHeight w:val="340"/>
          <w:jc w:val="center"/>
        </w:trPr>
        <w:tc>
          <w:tcPr>
            <w:tcW w:w="3047" w:type="dxa"/>
            <w:tcBorders>
              <w:top w:val="single" w:sz="4" w:space="0" w:color="auto"/>
              <w:left w:val="single" w:sz="4" w:space="0" w:color="auto"/>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8"/>
                <w:szCs w:val="20"/>
                <w:lang w:bidi="ar-SA"/>
              </w:rPr>
            </w:pPr>
            <w:r>
              <w:rPr>
                <w:rFonts w:eastAsia="Times New Roman" w:cs="Times New Roman"/>
                <w:sz w:val="18"/>
                <w:szCs w:val="20"/>
                <w:lang w:bidi="ar-SA"/>
              </w:rPr>
              <w:t>Administracja publiczna</w:t>
            </w:r>
          </w:p>
        </w:tc>
        <w:tc>
          <w:tcPr>
            <w:tcW w:w="1321" w:type="dxa"/>
            <w:tcBorders>
              <w:top w:val="single" w:sz="4" w:space="0" w:color="auto"/>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8"/>
                <w:szCs w:val="20"/>
                <w:lang w:bidi="ar-SA"/>
              </w:rPr>
            </w:pPr>
            <w:r>
              <w:rPr>
                <w:rFonts w:eastAsia="Times New Roman" w:cs="Times New Roman"/>
                <w:sz w:val="18"/>
                <w:szCs w:val="20"/>
                <w:lang w:bidi="ar-SA"/>
              </w:rPr>
              <w:t>0,15</w:t>
            </w:r>
          </w:p>
        </w:tc>
        <w:tc>
          <w:tcPr>
            <w:tcW w:w="8164" w:type="dxa"/>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8"/>
                <w:szCs w:val="20"/>
                <w:lang w:bidi="ar-SA"/>
              </w:rPr>
            </w:pPr>
            <w:r>
              <w:rPr>
                <w:rFonts w:eastAsia="Times New Roman" w:cs="Times New Roman"/>
                <w:sz w:val="18"/>
                <w:szCs w:val="20"/>
                <w:lang w:bidi="ar-SA"/>
              </w:rPr>
              <w:t>iloczyn liczby mieszkańców i relacji przeciętnego miesięcznego wynagrodzenia brutto do średniej krajowej</w:t>
            </w:r>
          </w:p>
        </w:tc>
        <w:tc>
          <w:tcPr>
            <w:tcW w:w="2268" w:type="dxa"/>
            <w:tcBorders>
              <w:top w:val="single" w:sz="4" w:space="0" w:color="auto"/>
              <w:left w:val="single" w:sz="4" w:space="0" w:color="auto"/>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8"/>
                <w:szCs w:val="20"/>
                <w:lang w:bidi="ar-SA"/>
              </w:rPr>
            </w:pPr>
            <w:r>
              <w:rPr>
                <w:rFonts w:eastAsia="Times New Roman" w:cs="Times New Roman"/>
                <w:sz w:val="18"/>
                <w:szCs w:val="20"/>
                <w:lang w:bidi="ar-SA"/>
              </w:rPr>
              <w:t>1</w:t>
            </w:r>
          </w:p>
        </w:tc>
      </w:tr>
      <w:tr>
        <w:tblPrEx>
          <w:tblW w:w="0" w:type="auto"/>
          <w:jc w:val="center"/>
          <w:tblCellMar>
            <w:left w:w="70" w:type="dxa"/>
            <w:right w:w="70" w:type="dxa"/>
          </w:tblCellMar>
          <w:tblLook w:val="04A0"/>
        </w:tblPrEx>
        <w:trPr>
          <w:cantSplit/>
          <w:trHeight w:val="340"/>
          <w:jc w:val="center"/>
        </w:trPr>
        <w:tc>
          <w:tcPr>
            <w:tcW w:w="3047" w:type="dxa"/>
            <w:tcBorders>
              <w:top w:val="nil"/>
              <w:left w:val="single" w:sz="4" w:space="0" w:color="auto"/>
              <w:bottom w:val="single" w:sz="4" w:space="0" w:color="000000"/>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8"/>
                <w:szCs w:val="20"/>
                <w:lang w:bidi="ar-SA"/>
              </w:rPr>
            </w:pPr>
            <w:r>
              <w:rPr>
                <w:rFonts w:eastAsia="Times New Roman" w:cs="Times New Roman"/>
                <w:sz w:val="18"/>
                <w:szCs w:val="20"/>
                <w:lang w:bidi="ar-SA"/>
              </w:rPr>
              <w:t>Oświata i wychowanie – szkoły</w:t>
            </w:r>
          </w:p>
        </w:tc>
        <w:tc>
          <w:tcPr>
            <w:tcW w:w="1321" w:type="dxa"/>
            <w:tcBorders>
              <w:top w:val="single" w:sz="4" w:space="0" w:color="auto"/>
              <w:left w:val="single" w:sz="4" w:space="0" w:color="auto"/>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8"/>
                <w:szCs w:val="20"/>
                <w:lang w:bidi="ar-SA"/>
              </w:rPr>
            </w:pPr>
            <w:r>
              <w:rPr>
                <w:rFonts w:eastAsia="Times New Roman" w:cs="Times New Roman"/>
                <w:sz w:val="18"/>
                <w:szCs w:val="20"/>
                <w:lang w:bidi="ar-SA"/>
              </w:rPr>
              <w:t>0,15</w:t>
            </w:r>
          </w:p>
        </w:tc>
        <w:tc>
          <w:tcPr>
            <w:tcW w:w="8164" w:type="dxa"/>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8"/>
                <w:szCs w:val="20"/>
                <w:lang w:bidi="ar-SA"/>
              </w:rPr>
            </w:pPr>
            <w:r>
              <w:rPr>
                <w:rFonts w:eastAsia="Times New Roman" w:cs="Times New Roman"/>
                <w:sz w:val="18"/>
                <w:szCs w:val="20"/>
                <w:lang w:bidi="ar-SA"/>
              </w:rPr>
              <w:t xml:space="preserve">liczba oddziałów w szkołach podstawowych, </w:t>
            </w:r>
            <w:r>
              <w:rPr>
                <w:rFonts w:eastAsia="Times New Roman" w:cs="Times New Roman"/>
                <w:sz w:val="18"/>
                <w:szCs w:val="20"/>
                <w:lang w:bidi="ar-SA"/>
              </w:rPr>
              <w:t>ponadpodstawowych i policealnych</w:t>
            </w:r>
          </w:p>
        </w:tc>
        <w:tc>
          <w:tcPr>
            <w:tcW w:w="2268" w:type="dxa"/>
            <w:tcBorders>
              <w:top w:val="single" w:sz="4" w:space="0" w:color="auto"/>
              <w:left w:val="single" w:sz="4" w:space="0" w:color="auto"/>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8"/>
                <w:szCs w:val="20"/>
                <w:lang w:bidi="ar-SA"/>
              </w:rPr>
            </w:pPr>
            <w:r>
              <w:rPr>
                <w:rFonts w:eastAsia="Times New Roman" w:cs="Times New Roman"/>
                <w:sz w:val="18"/>
                <w:szCs w:val="20"/>
                <w:lang w:bidi="ar-SA"/>
              </w:rPr>
              <w:t>1</w:t>
            </w:r>
          </w:p>
        </w:tc>
      </w:tr>
      <w:tr>
        <w:tblPrEx>
          <w:tblW w:w="0" w:type="auto"/>
          <w:jc w:val="center"/>
          <w:tblCellMar>
            <w:left w:w="70" w:type="dxa"/>
            <w:right w:w="70" w:type="dxa"/>
          </w:tblCellMar>
          <w:tblLook w:val="04A0"/>
        </w:tblPrEx>
        <w:trPr>
          <w:cantSplit/>
          <w:trHeight w:val="340"/>
          <w:jc w:val="center"/>
        </w:trPr>
        <w:tc>
          <w:tcPr>
            <w:tcW w:w="3047" w:type="dxa"/>
            <w:tcBorders>
              <w:top w:val="nil"/>
              <w:left w:val="single" w:sz="4" w:space="0" w:color="auto"/>
              <w:bottom w:val="single" w:sz="4" w:space="0" w:color="000000"/>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8"/>
                <w:szCs w:val="20"/>
                <w:lang w:bidi="ar-SA"/>
              </w:rPr>
            </w:pPr>
            <w:r>
              <w:rPr>
                <w:rFonts w:eastAsia="Times New Roman" w:cs="Times New Roman"/>
                <w:sz w:val="18"/>
                <w:szCs w:val="20"/>
                <w:lang w:bidi="ar-SA"/>
              </w:rPr>
              <w:t>Oświata i wychowanie – wychowanie przedszkolne</w:t>
            </w:r>
          </w:p>
        </w:tc>
        <w:tc>
          <w:tcPr>
            <w:tcW w:w="1321" w:type="dxa"/>
            <w:tcBorders>
              <w:top w:val="single" w:sz="4" w:space="0" w:color="auto"/>
              <w:left w:val="single" w:sz="4" w:space="0" w:color="auto"/>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8"/>
                <w:szCs w:val="20"/>
                <w:lang w:bidi="ar-SA"/>
              </w:rPr>
            </w:pPr>
            <w:r>
              <w:rPr>
                <w:rFonts w:eastAsia="Times New Roman" w:cs="Times New Roman"/>
                <w:sz w:val="18"/>
                <w:szCs w:val="20"/>
                <w:lang w:bidi="ar-SA"/>
              </w:rPr>
              <w:t>0,17</w:t>
            </w:r>
          </w:p>
        </w:tc>
        <w:tc>
          <w:tcPr>
            <w:tcW w:w="8164" w:type="dxa"/>
            <w:tcBorders>
              <w:top w:val="single" w:sz="4" w:space="0" w:color="auto"/>
              <w:left w:val="single" w:sz="4" w:space="0" w:color="auto"/>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8"/>
                <w:szCs w:val="20"/>
                <w:lang w:bidi="ar-SA"/>
              </w:rPr>
            </w:pPr>
            <w:r>
              <w:rPr>
                <w:rFonts w:eastAsia="Times New Roman" w:cs="Times New Roman"/>
                <w:sz w:val="18"/>
                <w:szCs w:val="20"/>
                <w:lang w:bidi="ar-SA"/>
              </w:rPr>
              <w:t>liczba dzieci uczęszczających do przedszkoli, oddziałów przedszkolnych w szkołach podstawowych i innych form wychowania przedszkolnego prowadzonych przez jst, osoby prawne niebędące jst oraz osoby fizyczne</w:t>
            </w:r>
          </w:p>
        </w:tc>
        <w:tc>
          <w:tcPr>
            <w:tcW w:w="2268" w:type="dxa"/>
            <w:tcBorders>
              <w:top w:val="single" w:sz="4" w:space="0" w:color="auto"/>
              <w:left w:val="single" w:sz="4" w:space="0" w:color="auto"/>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8"/>
                <w:szCs w:val="20"/>
                <w:lang w:bidi="ar-SA"/>
              </w:rPr>
            </w:pPr>
            <w:r>
              <w:rPr>
                <w:rFonts w:eastAsia="Times New Roman" w:cs="Times New Roman"/>
                <w:sz w:val="18"/>
                <w:szCs w:val="20"/>
                <w:lang w:bidi="ar-SA"/>
              </w:rPr>
              <w:t>1</w:t>
            </w:r>
          </w:p>
        </w:tc>
      </w:tr>
      <w:tr>
        <w:tblPrEx>
          <w:tblW w:w="0" w:type="auto"/>
          <w:jc w:val="center"/>
          <w:tblCellMar>
            <w:left w:w="70" w:type="dxa"/>
            <w:right w:w="70" w:type="dxa"/>
          </w:tblCellMar>
          <w:tblLook w:val="04A0"/>
        </w:tblPrEx>
        <w:trPr>
          <w:cantSplit/>
          <w:trHeight w:val="340"/>
          <w:jc w:val="center"/>
        </w:trPr>
        <w:tc>
          <w:tcPr>
            <w:tcW w:w="3047" w:type="dxa"/>
            <w:vMerge w:val="restart"/>
            <w:tcBorders>
              <w:top w:val="nil"/>
              <w:left w:val="single" w:sz="4" w:space="0" w:color="auto"/>
              <w:bottom w:val="single" w:sz="4" w:space="0" w:color="000000"/>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8"/>
                <w:szCs w:val="20"/>
                <w:lang w:bidi="ar-SA"/>
              </w:rPr>
            </w:pPr>
            <w:r>
              <w:rPr>
                <w:rFonts w:eastAsia="Times New Roman" w:cs="Times New Roman"/>
                <w:sz w:val="18"/>
                <w:szCs w:val="20"/>
                <w:lang w:bidi="ar-SA"/>
              </w:rPr>
              <w:t>Polityka społeczna</w:t>
            </w:r>
          </w:p>
        </w:tc>
        <w:tc>
          <w:tcPr>
            <w:tcW w:w="1321" w:type="dxa"/>
            <w:vMerge w:val="restart"/>
            <w:tcBorders>
              <w:top w:val="single" w:sz="4" w:space="0" w:color="auto"/>
              <w:left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8"/>
                <w:szCs w:val="20"/>
                <w:shd w:val="clear" w:color="auto" w:fill="FFFFFF"/>
                <w:lang w:bidi="ar-SA"/>
              </w:rPr>
            </w:pPr>
            <w:r>
              <w:rPr>
                <w:rFonts w:eastAsia="Times New Roman" w:cs="Times New Roman"/>
                <w:sz w:val="18"/>
                <w:szCs w:val="20"/>
                <w:lang w:bidi="ar-SA"/>
              </w:rPr>
              <w:t>0,15</w:t>
            </w:r>
          </w:p>
        </w:tc>
        <w:tc>
          <w:tcPr>
            <w:tcW w:w="8164" w:type="dxa"/>
            <w:tcBorders>
              <w:top w:val="single" w:sz="4" w:space="0" w:color="auto"/>
              <w:left w:val="single" w:sz="4" w:space="0" w:color="auto"/>
              <w:bottom w:val="single" w:sz="4" w:space="0" w:color="000000"/>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8"/>
                <w:szCs w:val="20"/>
                <w:lang w:bidi="ar-SA"/>
              </w:rPr>
            </w:pPr>
            <w:r>
              <w:rPr>
                <w:rFonts w:eastAsia="Times New Roman" w:cs="Times New Roman"/>
                <w:sz w:val="18"/>
                <w:szCs w:val="20"/>
                <w:shd w:val="clear" w:color="auto" w:fill="FFFFFF"/>
                <w:lang w:bidi="ar-SA"/>
              </w:rPr>
              <w:t>liczba osób korzystających ze środowiskowej pomocy społecznej (łącznie z filiami)</w:t>
            </w:r>
          </w:p>
        </w:tc>
        <w:tc>
          <w:tcPr>
            <w:tcW w:w="2268" w:type="dxa"/>
            <w:tcBorders>
              <w:top w:val="single" w:sz="4" w:space="0" w:color="auto"/>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8"/>
                <w:szCs w:val="20"/>
                <w:lang w:bidi="ar-SA"/>
              </w:rPr>
            </w:pPr>
            <w:r>
              <w:rPr>
                <w:rFonts w:eastAsia="Times New Roman" w:cs="Times New Roman"/>
                <w:sz w:val="18"/>
                <w:szCs w:val="20"/>
                <w:shd w:val="clear" w:color="auto" w:fill="FFFFFF"/>
                <w:lang w:bidi="ar-SA"/>
              </w:rPr>
              <w:t>0,8065</w:t>
            </w:r>
          </w:p>
        </w:tc>
      </w:tr>
      <w:tr>
        <w:tblPrEx>
          <w:tblW w:w="0" w:type="auto"/>
          <w:jc w:val="center"/>
          <w:tblCellMar>
            <w:left w:w="70" w:type="dxa"/>
            <w:right w:w="70" w:type="dxa"/>
          </w:tblCellMar>
          <w:tblLook w:val="04A0"/>
        </w:tblPrEx>
        <w:trPr>
          <w:cantSplit/>
          <w:trHeight w:val="340"/>
          <w:jc w:val="center"/>
        </w:trPr>
        <w:tc>
          <w:tcPr>
            <w:tcW w:w="3047" w:type="dxa"/>
            <w:vMerge/>
            <w:tcBorders>
              <w:top w:val="nil"/>
              <w:left w:val="single" w:sz="4" w:space="0" w:color="auto"/>
              <w:bottom w:val="single" w:sz="4" w:space="0" w:color="000000"/>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8"/>
                <w:szCs w:val="20"/>
                <w:lang w:bidi="ar-SA"/>
              </w:rPr>
            </w:pPr>
          </w:p>
        </w:tc>
        <w:tc>
          <w:tcPr>
            <w:tcW w:w="1321" w:type="dxa"/>
            <w:vMerge/>
            <w:tcBorders>
              <w:left w:val="single" w:sz="4" w:space="0" w:color="auto"/>
              <w:bottom w:val="single" w:sz="4" w:space="0" w:color="000000"/>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8"/>
                <w:szCs w:val="20"/>
                <w:shd w:val="clear" w:color="auto" w:fill="FFFFFF"/>
                <w:lang w:bidi="ar-SA"/>
              </w:rPr>
            </w:pPr>
          </w:p>
        </w:tc>
        <w:tc>
          <w:tcPr>
            <w:tcW w:w="8164" w:type="dxa"/>
            <w:tcBorders>
              <w:top w:val="nil"/>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8"/>
                <w:szCs w:val="20"/>
                <w:lang w:bidi="ar-SA"/>
              </w:rPr>
            </w:pPr>
            <w:r>
              <w:rPr>
                <w:rFonts w:eastAsia="Times New Roman" w:cs="Times New Roman"/>
                <w:sz w:val="18"/>
                <w:szCs w:val="20"/>
                <w:shd w:val="clear" w:color="auto" w:fill="FFFFFF"/>
                <w:lang w:bidi="ar-SA"/>
              </w:rPr>
              <w:t>liczba bezrobotnych zarejestrowanych</w:t>
            </w:r>
          </w:p>
        </w:tc>
        <w:tc>
          <w:tcPr>
            <w:tcW w:w="2268" w:type="dxa"/>
            <w:tcBorders>
              <w:top w:val="single" w:sz="4" w:space="0" w:color="auto"/>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8"/>
                <w:szCs w:val="20"/>
                <w:lang w:bidi="ar-SA"/>
              </w:rPr>
            </w:pPr>
            <w:r>
              <w:rPr>
                <w:rFonts w:eastAsia="Times New Roman" w:cs="Times New Roman"/>
                <w:sz w:val="18"/>
                <w:szCs w:val="20"/>
                <w:shd w:val="clear" w:color="auto" w:fill="FFFFFF"/>
                <w:lang w:bidi="ar-SA"/>
              </w:rPr>
              <w:t>0,1935</w:t>
            </w:r>
          </w:p>
        </w:tc>
      </w:tr>
      <w:tr>
        <w:tblPrEx>
          <w:tblW w:w="0" w:type="auto"/>
          <w:jc w:val="center"/>
          <w:tblCellMar>
            <w:left w:w="70" w:type="dxa"/>
            <w:right w:w="70" w:type="dxa"/>
          </w:tblCellMar>
          <w:tblLook w:val="04A0"/>
        </w:tblPrEx>
        <w:trPr>
          <w:cantSplit/>
          <w:trHeight w:val="340"/>
          <w:jc w:val="center"/>
        </w:trPr>
        <w:tc>
          <w:tcPr>
            <w:tcW w:w="3047" w:type="dxa"/>
            <w:tcBorders>
              <w:top w:val="nil"/>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8"/>
                <w:szCs w:val="20"/>
                <w:lang w:bidi="ar-SA"/>
              </w:rPr>
            </w:pPr>
            <w:r>
              <w:rPr>
                <w:rFonts w:eastAsia="Times New Roman" w:cs="Times New Roman"/>
                <w:sz w:val="18"/>
                <w:szCs w:val="20"/>
                <w:lang w:bidi="ar-SA"/>
              </w:rPr>
              <w:t>Gospodarka komunalna i ochrona środowiska</w:t>
            </w:r>
          </w:p>
        </w:tc>
        <w:tc>
          <w:tcPr>
            <w:tcW w:w="1321" w:type="dxa"/>
            <w:tcBorders>
              <w:top w:val="nil"/>
              <w:left w:val="single" w:sz="4" w:space="0" w:color="auto"/>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8"/>
                <w:szCs w:val="20"/>
                <w:lang w:bidi="ar-SA"/>
              </w:rPr>
            </w:pPr>
            <w:r>
              <w:rPr>
                <w:rFonts w:eastAsia="Times New Roman" w:cs="Times New Roman"/>
                <w:sz w:val="18"/>
                <w:szCs w:val="20"/>
                <w:lang w:bidi="ar-SA"/>
              </w:rPr>
              <w:t>0,05</w:t>
            </w:r>
          </w:p>
        </w:tc>
        <w:tc>
          <w:tcPr>
            <w:tcW w:w="8164" w:type="dxa"/>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8"/>
                <w:szCs w:val="20"/>
                <w:lang w:bidi="ar-SA"/>
              </w:rPr>
            </w:pPr>
            <w:r>
              <w:rPr>
                <w:rFonts w:eastAsia="Times New Roman" w:cs="Times New Roman"/>
                <w:sz w:val="18"/>
                <w:szCs w:val="20"/>
                <w:lang w:bidi="ar-SA"/>
              </w:rPr>
              <w:t>suma powierzchni parków spacerowo-wypoczynkowych, zieleńców i terenów zieleni osiedlowej oraz średniej powierzchni objętej utrzymaniem czystości i porządku przez gminy w okresie letnim i powierzchni objętej utrzymaniem czystości i porządku przez gminy w okresie zimowym – będąca w gestii miasta [w ha]</w:t>
            </w:r>
          </w:p>
        </w:tc>
        <w:tc>
          <w:tcPr>
            <w:tcW w:w="2268" w:type="dxa"/>
            <w:tcBorders>
              <w:top w:val="nil"/>
              <w:left w:val="single" w:sz="4" w:space="0" w:color="auto"/>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8"/>
                <w:szCs w:val="20"/>
                <w:lang w:bidi="ar-SA"/>
              </w:rPr>
            </w:pPr>
            <w:r>
              <w:rPr>
                <w:rFonts w:eastAsia="Times New Roman" w:cs="Times New Roman"/>
                <w:sz w:val="18"/>
                <w:szCs w:val="20"/>
                <w:lang w:bidi="ar-SA"/>
              </w:rPr>
              <w:t>1</w:t>
            </w:r>
          </w:p>
        </w:tc>
      </w:tr>
      <w:tr>
        <w:tblPrEx>
          <w:tblW w:w="0" w:type="auto"/>
          <w:jc w:val="center"/>
          <w:tblCellMar>
            <w:left w:w="70" w:type="dxa"/>
            <w:right w:w="70" w:type="dxa"/>
          </w:tblCellMar>
          <w:tblLook w:val="04A0"/>
        </w:tblPrEx>
        <w:trPr>
          <w:cantSplit/>
          <w:trHeight w:val="340"/>
          <w:jc w:val="center"/>
        </w:trPr>
        <w:tc>
          <w:tcPr>
            <w:tcW w:w="3047" w:type="dxa"/>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8"/>
                <w:szCs w:val="20"/>
                <w:lang w:bidi="ar-SA"/>
              </w:rPr>
            </w:pPr>
            <w:r>
              <w:rPr>
                <w:rFonts w:eastAsia="Times New Roman" w:cs="Times New Roman"/>
                <w:sz w:val="18"/>
                <w:szCs w:val="20"/>
                <w:lang w:bidi="ar-SA"/>
              </w:rPr>
              <w:t>Kultura i ochrona dziedzictwa narodowego</w:t>
            </w:r>
          </w:p>
        </w:tc>
        <w:tc>
          <w:tcPr>
            <w:tcW w:w="1321" w:type="dxa"/>
            <w:tcBorders>
              <w:top w:val="single" w:sz="4" w:space="0" w:color="auto"/>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8"/>
                <w:szCs w:val="20"/>
                <w:shd w:val="clear" w:color="auto" w:fill="FFFFFF"/>
                <w:lang w:bidi="ar-SA"/>
              </w:rPr>
            </w:pPr>
            <w:r>
              <w:rPr>
                <w:rFonts w:eastAsia="Times New Roman" w:cs="Times New Roman"/>
                <w:sz w:val="18"/>
                <w:szCs w:val="20"/>
                <w:lang w:bidi="ar-SA"/>
              </w:rPr>
              <w:t>0,06</w:t>
            </w:r>
          </w:p>
        </w:tc>
        <w:tc>
          <w:tcPr>
            <w:tcW w:w="8164" w:type="dxa"/>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8"/>
                <w:szCs w:val="20"/>
                <w:lang w:bidi="ar-SA"/>
              </w:rPr>
            </w:pPr>
            <w:r>
              <w:rPr>
                <w:rFonts w:eastAsia="Times New Roman" w:cs="Times New Roman"/>
                <w:sz w:val="18"/>
                <w:szCs w:val="20"/>
                <w:shd w:val="clear" w:color="auto" w:fill="FFFFFF"/>
                <w:lang w:bidi="ar-SA"/>
              </w:rPr>
              <w:t>iloczyn liczby mieszkańców i relacji przeciętnego miesięcznego wynagrodzenia brutto do średniej krajowej</w:t>
            </w:r>
          </w:p>
        </w:tc>
        <w:tc>
          <w:tcPr>
            <w:tcW w:w="2268" w:type="dxa"/>
            <w:tcBorders>
              <w:top w:val="single" w:sz="4" w:space="0" w:color="auto"/>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8"/>
                <w:szCs w:val="20"/>
                <w:lang w:bidi="ar-SA"/>
              </w:rPr>
            </w:pPr>
            <w:r>
              <w:rPr>
                <w:rFonts w:eastAsia="Times New Roman" w:cs="Times New Roman"/>
                <w:sz w:val="18"/>
                <w:szCs w:val="20"/>
                <w:lang w:bidi="ar-SA"/>
              </w:rPr>
              <w:t>1</w:t>
            </w:r>
          </w:p>
        </w:tc>
      </w:tr>
      <w:tr>
        <w:tblPrEx>
          <w:tblW w:w="0" w:type="auto"/>
          <w:jc w:val="center"/>
          <w:tblCellMar>
            <w:left w:w="70" w:type="dxa"/>
            <w:right w:w="70" w:type="dxa"/>
          </w:tblCellMar>
          <w:tblLook w:val="04A0"/>
        </w:tblPrEx>
        <w:trPr>
          <w:cantSplit/>
          <w:trHeight w:val="340"/>
          <w:jc w:val="center"/>
        </w:trPr>
        <w:tc>
          <w:tcPr>
            <w:tcW w:w="3047" w:type="dxa"/>
            <w:tcBorders>
              <w:top w:val="nil"/>
              <w:left w:val="single" w:sz="4" w:space="0" w:color="auto"/>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8"/>
                <w:szCs w:val="20"/>
                <w:lang w:bidi="ar-SA"/>
              </w:rPr>
            </w:pPr>
            <w:r>
              <w:rPr>
                <w:rFonts w:eastAsia="Times New Roman" w:cs="Times New Roman"/>
                <w:sz w:val="18"/>
                <w:szCs w:val="20"/>
                <w:lang w:bidi="ar-SA"/>
              </w:rPr>
              <w:t>Pozostałe</w:t>
            </w:r>
          </w:p>
        </w:tc>
        <w:tc>
          <w:tcPr>
            <w:tcW w:w="1321" w:type="dxa"/>
            <w:tcBorders>
              <w:top w:val="nil"/>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8"/>
                <w:szCs w:val="20"/>
                <w:lang w:bidi="ar-SA"/>
              </w:rPr>
            </w:pPr>
            <w:r>
              <w:rPr>
                <w:rFonts w:eastAsia="Times New Roman" w:cs="Times New Roman"/>
                <w:sz w:val="18"/>
                <w:szCs w:val="20"/>
                <w:lang w:bidi="ar-SA"/>
              </w:rPr>
              <w:t>0,09</w:t>
            </w:r>
          </w:p>
        </w:tc>
        <w:tc>
          <w:tcPr>
            <w:tcW w:w="8164" w:type="dxa"/>
            <w:tcBorders>
              <w:top w:val="nil"/>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8"/>
                <w:szCs w:val="20"/>
                <w:lang w:bidi="ar-SA"/>
              </w:rPr>
            </w:pPr>
            <w:r>
              <w:rPr>
                <w:rFonts w:eastAsia="Times New Roman" w:cs="Times New Roman"/>
                <w:sz w:val="18"/>
                <w:szCs w:val="20"/>
                <w:lang w:bidi="ar-SA"/>
              </w:rPr>
              <w:t>liczba mieszkańców</w:t>
            </w:r>
          </w:p>
        </w:tc>
        <w:tc>
          <w:tcPr>
            <w:tcW w:w="2268" w:type="dxa"/>
            <w:tcBorders>
              <w:top w:val="nil"/>
              <w:left w:val="single" w:sz="4" w:space="0" w:color="auto"/>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8"/>
                <w:szCs w:val="20"/>
                <w:lang w:bidi="ar-SA"/>
              </w:rPr>
            </w:pPr>
            <w:r>
              <w:rPr>
                <w:rFonts w:eastAsia="Times New Roman" w:cs="Times New Roman"/>
                <w:sz w:val="18"/>
                <w:szCs w:val="20"/>
                <w:lang w:bidi="ar-SA"/>
              </w:rPr>
              <w:t>1</w:t>
            </w:r>
          </w:p>
        </w:tc>
      </w:tr>
    </w:tbl>
    <w:p>
      <w:pPr>
        <w:keepNext w:val="0"/>
        <w:keepLines w:val="0"/>
        <w:widowControl/>
        <w:suppressLineNumbers w:val="0"/>
        <w:shd w:val="clear" w:color="auto" w:fill="auto"/>
        <w:suppressAutoHyphens w:val="0"/>
        <w:spacing w:before="240" w:beforeAutospacing="0" w:after="12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 xml:space="preserve">Dokonując analizy algorytmów wynikających z ustawy oraz wpływu poszczególnych determinant na przeliczeniową liczbę ludności wątpliwości budzą w zasadzie wszystkie przypisane kategorii miast na prawach powiatu determinanty, a w szczególności następujące: </w:t>
      </w:r>
    </w:p>
    <w:p>
      <w:pPr>
        <w:keepNext w:val="0"/>
        <w:keepLines w:val="0"/>
        <w:widowControl/>
        <w:numPr>
          <w:ilvl w:val="0"/>
          <w:numId w:val="3"/>
        </w:numPr>
        <w:suppressLineNumbers w:val="0"/>
        <w:shd w:val="clear" w:color="auto" w:fill="auto"/>
        <w:suppressAutoHyphens w:val="0"/>
        <w:spacing w:before="0" w:beforeAutospacing="0" w:after="120" w:afterAutospacing="0" w:line="240" w:lineRule="auto"/>
        <w:ind w:left="357" w:right="0" w:hanging="357"/>
        <w:contextualSpacing w:val="0"/>
        <w:jc w:val="both"/>
        <w:rPr>
          <w:rFonts w:eastAsia="Times New Roman" w:cs="Times New Roman"/>
          <w:b/>
          <w:i/>
          <w:szCs w:val="20"/>
          <w:lang w:bidi="ar-SA"/>
        </w:rPr>
      </w:pPr>
      <w:r>
        <w:rPr>
          <w:rFonts w:eastAsia="Times New Roman" w:cs="Times New Roman"/>
          <w:b/>
          <w:i/>
          <w:szCs w:val="20"/>
          <w:lang w:bidi="ar-SA"/>
        </w:rPr>
        <w:br w:type="page"/>
        <w:t>Determinanta liczba bezrobotnych:</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 xml:space="preserve">Miasto Bytom traci w wyliczeniach przeliczeniowej liczby mieszkańców względem innych miast na prawach powiatu z uwagi na DUŻO NIŻSZY przyrost liczby osób bezrobotnych (zarówno liczbowy, jak i procentowy) niż w takich miastach jak Katowice, Wrocław, Bydgoszcz, Warszawa, Gdańsk. Bytom staje się miastem znacznie zamożniejszym niż wskazane, bo przyrost liczby bezrobotnych jest nieporównywalnie procentowo niższy niż w tych miastach. </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 xml:space="preserve">Przyrost liczby osób bezrobotnych nie powinien zatem determinować wysokości wskaźnika zamożności danego samorządu, gdyż przy relatywnie wysokiej stopie bezrobocia względem porównywanych i wymienionych miast, procentowy przyrost liczby bezrobotnych (niższy znacząco niż w tych miastach) nie świadczy o zamożności Bytomia. </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Poniższa tabela wskazuje, że wymienione w niej miasta, z uwagi na procentowy przyrost liczby osób bezrobotnych (znacząco wyższy niż w Bytomiu przy tak wysokiej stopie bezrobocia, która jest wyliczana odmiennie) wskazuje na przyrost przeliczeniowej liczby mieszkańców w tych miastach, a jej spadek w Bytomiu. Dla zaakcentowania zasad obowiązującego systemu zaprezentowano przykład. Gdyby przyrost procentowy w Bytomiu liczby bezrobotnych był analogiczny jak w mieście stołecznym Warszawa (10,8%, dla Bytomia stanowiłoby to 382 osoby) to przeliczeniowa liczba mieszkańców w Bytomiu na rok 2026 wzrosłaby aż o 646 mieszkańców, co w efekcie spowodowałoby przyznanie miastu ponad 2 800 000 zł potrzeb wyrównawczych (obecne wyliczenia wynoszą 0).</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 xml:space="preserve">Należy przy tym podkreślić, iż w okresie obowiązywania ustawy o dochodach jednostek samorządu terytorialnego (od stycznia br.) dane w tym zakresie, będące podstawą wyliczeń były pozyskiwane z danych statystycznych GUS wg innego stanu. I tak dla wyliczeń na rok 2026 uwzględniono liczbę bezrobotnych wg stanu na dzień 30 kwietnia 2025 r., podczas gdy dla wyliczeń w roku 2025 wzięto pod uwagę stan na dzień 31 grudnia 2023r. </w:t>
      </w:r>
    </w:p>
    <w:p>
      <w:pPr>
        <w:keepNext w:val="0"/>
        <w:keepLines w:val="0"/>
        <w:widowControl/>
        <w:suppressLineNumbers w:val="0"/>
        <w:shd w:val="clear" w:color="auto" w:fill="auto"/>
        <w:suppressAutoHyphens w:val="0"/>
        <w:spacing w:before="0" w:beforeAutospacing="0" w:after="12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Poniżej tabela z wybranymi MNPP prezentująca wyżej opisaną determinantę*:</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2204"/>
        <w:gridCol w:w="1841"/>
        <w:gridCol w:w="1331"/>
        <w:gridCol w:w="1841"/>
        <w:gridCol w:w="1387"/>
        <w:gridCol w:w="1599"/>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Ex>
        <w:trPr>
          <w:cantSplit/>
          <w:trHeight w:val="227"/>
          <w:jc w:val="center"/>
        </w:trPr>
        <w:tc>
          <w:tcPr>
            <w:tcW w:w="0" w:type="auto"/>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Nazwa JST</w:t>
            </w:r>
          </w:p>
        </w:tc>
        <w:tc>
          <w:tcPr>
            <w:tcW w:w="1701"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 xml:space="preserve"> liczba bezrobotnych zarejestrowanych – determinanta na 2025, wg danych na 31.12.2023 </w:t>
            </w:r>
          </w:p>
        </w:tc>
        <w:tc>
          <w:tcPr>
            <w:tcW w:w="1191"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 xml:space="preserve"> stopa bezrobocia na 31.12.2023 </w:t>
            </w:r>
          </w:p>
        </w:tc>
        <w:tc>
          <w:tcPr>
            <w:tcW w:w="1701"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 xml:space="preserve"> liczba bezrobotnych zarejestrowanych – determinanta na 2026, wg stanu na 30.04.2025 </w:t>
            </w:r>
          </w:p>
        </w:tc>
        <w:tc>
          <w:tcPr>
            <w:tcW w:w="1247"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 xml:space="preserve"> Zmiana 2024/2023 w% </w:t>
            </w:r>
          </w:p>
        </w:tc>
        <w:tc>
          <w:tcPr>
            <w:tcW w:w="1459"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 xml:space="preserve"> stopa bezrobocia na 30.04.2025 </w:t>
            </w:r>
          </w:p>
        </w:tc>
      </w:tr>
      <w:tr>
        <w:tblPrEx>
          <w:tblW w:w="0" w:type="auto"/>
          <w:jc w:val="center"/>
          <w:tblCellMar>
            <w:left w:w="70" w:type="dxa"/>
            <w:right w:w="70" w:type="dxa"/>
          </w:tblCellMar>
          <w:tblLook w:val="04A0"/>
        </w:tblPrEx>
        <w:trPr>
          <w:cantSplit/>
          <w:trHeight w:val="227"/>
          <w:jc w:val="center"/>
        </w:trPr>
        <w:tc>
          <w:tcPr>
            <w:tcW w:w="0" w:type="auto"/>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Wrocław</w:t>
            </w:r>
          </w:p>
        </w:tc>
        <w:tc>
          <w:tcPr>
            <w:tcW w:w="1701"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6 277</w:t>
            </w:r>
          </w:p>
        </w:tc>
        <w:tc>
          <w:tcPr>
            <w:tcW w:w="1191"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1,6%</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7 258</w:t>
            </w:r>
          </w:p>
        </w:tc>
        <w:tc>
          <w:tcPr>
            <w:tcW w:w="124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15,6%</w:t>
            </w:r>
          </w:p>
        </w:tc>
        <w:tc>
          <w:tcPr>
            <w:tcW w:w="1459"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1,8%</w:t>
            </w:r>
          </w:p>
        </w:tc>
      </w:tr>
      <w:tr>
        <w:tblPrEx>
          <w:tblW w:w="0" w:type="auto"/>
          <w:jc w:val="center"/>
          <w:tblCellMar>
            <w:left w:w="70" w:type="dxa"/>
            <w:right w:w="70" w:type="dxa"/>
          </w:tblCellMar>
          <w:tblLook w:val="04A0"/>
        </w:tblPrEx>
        <w:trPr>
          <w:cantSplit/>
          <w:trHeight w:val="227"/>
          <w:jc w:val="center"/>
        </w:trPr>
        <w:tc>
          <w:tcPr>
            <w:tcW w:w="0" w:type="auto"/>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Wałbrzych</w:t>
            </w:r>
          </w:p>
        </w:tc>
        <w:tc>
          <w:tcPr>
            <w:tcW w:w="1701"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1 643</w:t>
            </w:r>
          </w:p>
        </w:tc>
        <w:tc>
          <w:tcPr>
            <w:tcW w:w="1191"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4,4%</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1 968</w:t>
            </w:r>
          </w:p>
        </w:tc>
        <w:tc>
          <w:tcPr>
            <w:tcW w:w="124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19,8%</w:t>
            </w:r>
          </w:p>
        </w:tc>
        <w:tc>
          <w:tcPr>
            <w:tcW w:w="1459"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5,2%</w:t>
            </w:r>
          </w:p>
        </w:tc>
      </w:tr>
      <w:tr>
        <w:tblPrEx>
          <w:tblW w:w="0" w:type="auto"/>
          <w:jc w:val="center"/>
          <w:tblCellMar>
            <w:left w:w="70" w:type="dxa"/>
            <w:right w:w="70" w:type="dxa"/>
          </w:tblCellMar>
          <w:tblLook w:val="04A0"/>
        </w:tblPrEx>
        <w:trPr>
          <w:cantSplit/>
          <w:trHeight w:val="227"/>
          <w:jc w:val="center"/>
        </w:trPr>
        <w:tc>
          <w:tcPr>
            <w:tcW w:w="0" w:type="auto"/>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Bydgoszcz</w:t>
            </w:r>
          </w:p>
        </w:tc>
        <w:tc>
          <w:tcPr>
            <w:tcW w:w="1701"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3 505</w:t>
            </w:r>
          </w:p>
        </w:tc>
        <w:tc>
          <w:tcPr>
            <w:tcW w:w="1191"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2,2%</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4 008</w:t>
            </w:r>
          </w:p>
        </w:tc>
        <w:tc>
          <w:tcPr>
            <w:tcW w:w="124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14,4%</w:t>
            </w:r>
          </w:p>
        </w:tc>
        <w:tc>
          <w:tcPr>
            <w:tcW w:w="1459"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2,6%</w:t>
            </w:r>
          </w:p>
        </w:tc>
      </w:tr>
      <w:tr>
        <w:tblPrEx>
          <w:tblW w:w="0" w:type="auto"/>
          <w:jc w:val="center"/>
          <w:tblCellMar>
            <w:left w:w="70" w:type="dxa"/>
            <w:right w:w="70" w:type="dxa"/>
          </w:tblCellMar>
          <w:tblLook w:val="04A0"/>
        </w:tblPrEx>
        <w:trPr>
          <w:cantSplit/>
          <w:trHeight w:val="227"/>
          <w:jc w:val="center"/>
        </w:trPr>
        <w:tc>
          <w:tcPr>
            <w:tcW w:w="0" w:type="auto"/>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Gorzów Wielkopolski</w:t>
            </w:r>
          </w:p>
        </w:tc>
        <w:tc>
          <w:tcPr>
            <w:tcW w:w="1701"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1 175</w:t>
            </w:r>
          </w:p>
        </w:tc>
        <w:tc>
          <w:tcPr>
            <w:tcW w:w="1191"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2,2%</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1 509</w:t>
            </w:r>
          </w:p>
        </w:tc>
        <w:tc>
          <w:tcPr>
            <w:tcW w:w="124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28,4%</w:t>
            </w:r>
          </w:p>
        </w:tc>
        <w:tc>
          <w:tcPr>
            <w:tcW w:w="1459"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2,8%</w:t>
            </w:r>
          </w:p>
        </w:tc>
      </w:tr>
      <w:tr>
        <w:tblPrEx>
          <w:tblW w:w="0" w:type="auto"/>
          <w:jc w:val="center"/>
          <w:tblCellMar>
            <w:left w:w="70" w:type="dxa"/>
            <w:right w:w="70" w:type="dxa"/>
          </w:tblCellMar>
          <w:tblLook w:val="04A0"/>
        </w:tblPrEx>
        <w:trPr>
          <w:cantSplit/>
          <w:trHeight w:val="227"/>
          <w:jc w:val="center"/>
        </w:trPr>
        <w:tc>
          <w:tcPr>
            <w:tcW w:w="0" w:type="auto"/>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Zielona Góra</w:t>
            </w:r>
          </w:p>
        </w:tc>
        <w:tc>
          <w:tcPr>
            <w:tcW w:w="1701"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1 951</w:t>
            </w:r>
          </w:p>
        </w:tc>
        <w:tc>
          <w:tcPr>
            <w:tcW w:w="1191"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2,9%</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2 161</w:t>
            </w:r>
          </w:p>
        </w:tc>
        <w:tc>
          <w:tcPr>
            <w:tcW w:w="124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10,8%</w:t>
            </w:r>
          </w:p>
        </w:tc>
        <w:tc>
          <w:tcPr>
            <w:tcW w:w="1459"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3,2%</w:t>
            </w:r>
          </w:p>
        </w:tc>
      </w:tr>
      <w:tr>
        <w:tblPrEx>
          <w:tblW w:w="0" w:type="auto"/>
          <w:jc w:val="center"/>
          <w:tblCellMar>
            <w:left w:w="70" w:type="dxa"/>
            <w:right w:w="70" w:type="dxa"/>
          </w:tblCellMar>
          <w:tblLook w:val="04A0"/>
        </w:tblPrEx>
        <w:trPr>
          <w:cantSplit/>
          <w:trHeight w:val="227"/>
          <w:jc w:val="center"/>
        </w:trPr>
        <w:tc>
          <w:tcPr>
            <w:tcW w:w="0" w:type="auto"/>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Kraków</w:t>
            </w:r>
          </w:p>
        </w:tc>
        <w:tc>
          <w:tcPr>
            <w:tcW w:w="1701"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9 963</w:t>
            </w:r>
          </w:p>
        </w:tc>
        <w:tc>
          <w:tcPr>
            <w:tcW w:w="1191"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1,9%</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11 522</w:t>
            </w:r>
          </w:p>
        </w:tc>
        <w:tc>
          <w:tcPr>
            <w:tcW w:w="124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15,6%</w:t>
            </w:r>
          </w:p>
        </w:tc>
        <w:tc>
          <w:tcPr>
            <w:tcW w:w="1459"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2,2%</w:t>
            </w:r>
          </w:p>
        </w:tc>
      </w:tr>
      <w:tr>
        <w:tblPrEx>
          <w:tblW w:w="0" w:type="auto"/>
          <w:jc w:val="center"/>
          <w:tblCellMar>
            <w:left w:w="70" w:type="dxa"/>
            <w:right w:w="70" w:type="dxa"/>
          </w:tblCellMar>
          <w:tblLook w:val="04A0"/>
        </w:tblPrEx>
        <w:trPr>
          <w:cantSplit/>
          <w:trHeight w:val="227"/>
          <w:jc w:val="center"/>
        </w:trPr>
        <w:tc>
          <w:tcPr>
            <w:tcW w:w="0" w:type="auto"/>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m. st. Warszawa</w:t>
            </w:r>
          </w:p>
        </w:tc>
        <w:tc>
          <w:tcPr>
            <w:tcW w:w="1701"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18 188</w:t>
            </w:r>
          </w:p>
        </w:tc>
        <w:tc>
          <w:tcPr>
            <w:tcW w:w="1191"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1,3%</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20 160</w:t>
            </w:r>
          </w:p>
        </w:tc>
        <w:tc>
          <w:tcPr>
            <w:tcW w:w="124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10,8%</w:t>
            </w:r>
          </w:p>
        </w:tc>
        <w:tc>
          <w:tcPr>
            <w:tcW w:w="1459"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1,5%</w:t>
            </w:r>
          </w:p>
        </w:tc>
      </w:tr>
      <w:tr>
        <w:tblPrEx>
          <w:tblW w:w="0" w:type="auto"/>
          <w:jc w:val="center"/>
          <w:tblCellMar>
            <w:left w:w="70" w:type="dxa"/>
            <w:right w:w="70" w:type="dxa"/>
          </w:tblCellMar>
          <w:tblLook w:val="04A0"/>
        </w:tblPrEx>
        <w:trPr>
          <w:cantSplit/>
          <w:trHeight w:val="227"/>
          <w:jc w:val="center"/>
        </w:trPr>
        <w:tc>
          <w:tcPr>
            <w:tcW w:w="0" w:type="auto"/>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Gdańsk</w:t>
            </w:r>
          </w:p>
        </w:tc>
        <w:tc>
          <w:tcPr>
            <w:tcW w:w="1701"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6 291</w:t>
            </w:r>
          </w:p>
        </w:tc>
        <w:tc>
          <w:tcPr>
            <w:tcW w:w="1191"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2,4%</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7 085</w:t>
            </w:r>
          </w:p>
        </w:tc>
        <w:tc>
          <w:tcPr>
            <w:tcW w:w="124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12,6%</w:t>
            </w:r>
          </w:p>
        </w:tc>
        <w:tc>
          <w:tcPr>
            <w:tcW w:w="1459"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2,7%</w:t>
            </w:r>
          </w:p>
        </w:tc>
      </w:tr>
      <w:tr>
        <w:tblPrEx>
          <w:tblW w:w="0" w:type="auto"/>
          <w:jc w:val="center"/>
          <w:tblCellMar>
            <w:left w:w="70" w:type="dxa"/>
            <w:right w:w="70" w:type="dxa"/>
          </w:tblCellMar>
          <w:tblLook w:val="04A0"/>
        </w:tblPrEx>
        <w:trPr>
          <w:cantSplit/>
          <w:trHeight w:val="227"/>
          <w:jc w:val="center"/>
        </w:trPr>
        <w:tc>
          <w:tcPr>
            <w:tcW w:w="0" w:type="auto"/>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Gdynia</w:t>
            </w:r>
          </w:p>
        </w:tc>
        <w:tc>
          <w:tcPr>
            <w:tcW w:w="1701"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2 174</w:t>
            </w:r>
          </w:p>
        </w:tc>
        <w:tc>
          <w:tcPr>
            <w:tcW w:w="1191"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2,0%</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2 742</w:t>
            </w:r>
          </w:p>
        </w:tc>
        <w:tc>
          <w:tcPr>
            <w:tcW w:w="124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26,1%</w:t>
            </w:r>
          </w:p>
        </w:tc>
        <w:tc>
          <w:tcPr>
            <w:tcW w:w="1459"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2,5%</w:t>
            </w:r>
          </w:p>
        </w:tc>
      </w:tr>
      <w:tr>
        <w:tblPrEx>
          <w:tblW w:w="0" w:type="auto"/>
          <w:jc w:val="center"/>
          <w:tblCellMar>
            <w:left w:w="70" w:type="dxa"/>
            <w:right w:w="70" w:type="dxa"/>
          </w:tblCellMar>
          <w:tblLook w:val="04A0"/>
        </w:tblPrEx>
        <w:trPr>
          <w:cantSplit/>
          <w:trHeight w:val="227"/>
          <w:jc w:val="center"/>
        </w:trPr>
        <w:tc>
          <w:tcPr>
            <w:tcW w:w="0" w:type="auto"/>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Słupsk</w:t>
            </w:r>
          </w:p>
        </w:tc>
        <w:tc>
          <w:tcPr>
            <w:tcW w:w="1701"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1 367</w:t>
            </w:r>
          </w:p>
        </w:tc>
        <w:tc>
          <w:tcPr>
            <w:tcW w:w="1191"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3,7%</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1 616</w:t>
            </w:r>
          </w:p>
        </w:tc>
        <w:tc>
          <w:tcPr>
            <w:tcW w:w="124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18,2%</w:t>
            </w:r>
          </w:p>
        </w:tc>
        <w:tc>
          <w:tcPr>
            <w:tcW w:w="1459"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4,3%</w:t>
            </w:r>
          </w:p>
        </w:tc>
      </w:tr>
      <w:tr>
        <w:tblPrEx>
          <w:tblW w:w="0" w:type="auto"/>
          <w:jc w:val="center"/>
          <w:tblCellMar>
            <w:left w:w="70" w:type="dxa"/>
            <w:right w:w="70" w:type="dxa"/>
          </w:tblCellMar>
          <w:tblLook w:val="04A0"/>
        </w:tblPrEx>
        <w:trPr>
          <w:cantSplit/>
          <w:trHeight w:val="227"/>
          <w:jc w:val="center"/>
        </w:trPr>
        <w:tc>
          <w:tcPr>
            <w:tcW w:w="0" w:type="auto"/>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Sopot</w:t>
            </w:r>
          </w:p>
        </w:tc>
        <w:tc>
          <w:tcPr>
            <w:tcW w:w="1701"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321</w:t>
            </w:r>
          </w:p>
        </w:tc>
        <w:tc>
          <w:tcPr>
            <w:tcW w:w="1191"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1,9%</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375</w:t>
            </w:r>
          </w:p>
        </w:tc>
        <w:tc>
          <w:tcPr>
            <w:tcW w:w="124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16,8%</w:t>
            </w:r>
          </w:p>
        </w:tc>
        <w:tc>
          <w:tcPr>
            <w:tcW w:w="1459"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2,2%</w:t>
            </w:r>
          </w:p>
        </w:tc>
      </w:tr>
      <w:tr>
        <w:tblPrEx>
          <w:tblW w:w="0" w:type="auto"/>
          <w:jc w:val="center"/>
          <w:tblCellMar>
            <w:left w:w="70" w:type="dxa"/>
            <w:right w:w="70" w:type="dxa"/>
          </w:tblCellMar>
          <w:tblLook w:val="04A0"/>
        </w:tblPrEx>
        <w:trPr>
          <w:cantSplit/>
          <w:trHeight w:val="227"/>
          <w:jc w:val="center"/>
        </w:trPr>
        <w:tc>
          <w:tcPr>
            <w:tcW w:w="0" w:type="auto"/>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Bielsko-Biała</w:t>
            </w:r>
          </w:p>
        </w:tc>
        <w:tc>
          <w:tcPr>
            <w:tcW w:w="1701"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1 845</w:t>
            </w:r>
          </w:p>
        </w:tc>
        <w:tc>
          <w:tcPr>
            <w:tcW w:w="1191"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1,9%</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2 097</w:t>
            </w:r>
          </w:p>
        </w:tc>
        <w:tc>
          <w:tcPr>
            <w:tcW w:w="124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13,7%</w:t>
            </w:r>
          </w:p>
        </w:tc>
        <w:tc>
          <w:tcPr>
            <w:tcW w:w="1459"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2,1%</w:t>
            </w:r>
          </w:p>
        </w:tc>
      </w:tr>
      <w:tr>
        <w:tblPrEx>
          <w:tblW w:w="0" w:type="auto"/>
          <w:jc w:val="center"/>
          <w:tblCellMar>
            <w:left w:w="70" w:type="dxa"/>
            <w:right w:w="70" w:type="dxa"/>
          </w:tblCellMar>
          <w:tblLook w:val="04A0"/>
        </w:tblPrEx>
        <w:trPr>
          <w:cantSplit/>
          <w:trHeight w:val="227"/>
          <w:jc w:val="center"/>
        </w:trPr>
        <w:tc>
          <w:tcPr>
            <w:tcW w:w="0" w:type="auto"/>
            <w:shd w:val="clear" w:color="auto" w:fill="F2F2F2"/>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Bytom</w:t>
            </w:r>
          </w:p>
        </w:tc>
        <w:tc>
          <w:tcPr>
            <w:tcW w:w="1701" w:type="dxa"/>
            <w:shd w:val="clear" w:color="auto" w:fill="F2F2F2"/>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3 538</w:t>
            </w:r>
          </w:p>
        </w:tc>
        <w:tc>
          <w:tcPr>
            <w:tcW w:w="1191" w:type="dxa"/>
            <w:shd w:val="clear" w:color="auto" w:fill="F2F2F2"/>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8,2%</w:t>
            </w:r>
          </w:p>
        </w:tc>
        <w:tc>
          <w:tcPr>
            <w:tcW w:w="1701" w:type="dxa"/>
            <w:shd w:val="clear" w:color="auto" w:fill="F2F2F2"/>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3 613</w:t>
            </w:r>
          </w:p>
        </w:tc>
        <w:tc>
          <w:tcPr>
            <w:tcW w:w="1247" w:type="dxa"/>
            <w:shd w:val="clear" w:color="auto" w:fill="F2F2F2"/>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2,1%</w:t>
            </w:r>
          </w:p>
        </w:tc>
        <w:tc>
          <w:tcPr>
            <w:tcW w:w="1459" w:type="dxa"/>
            <w:shd w:val="clear" w:color="auto" w:fill="F2F2F2"/>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8,4%</w:t>
            </w:r>
          </w:p>
        </w:tc>
      </w:tr>
      <w:tr>
        <w:tblPrEx>
          <w:tblW w:w="0" w:type="auto"/>
          <w:jc w:val="center"/>
          <w:tblCellMar>
            <w:left w:w="70" w:type="dxa"/>
            <w:right w:w="70" w:type="dxa"/>
          </w:tblCellMar>
          <w:tblLook w:val="04A0"/>
        </w:tblPrEx>
        <w:trPr>
          <w:cantSplit/>
          <w:trHeight w:val="227"/>
          <w:jc w:val="center"/>
        </w:trPr>
        <w:tc>
          <w:tcPr>
            <w:tcW w:w="0" w:type="auto"/>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Gliwice</w:t>
            </w:r>
          </w:p>
        </w:tc>
        <w:tc>
          <w:tcPr>
            <w:tcW w:w="1701"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2 224</w:t>
            </w:r>
          </w:p>
        </w:tc>
        <w:tc>
          <w:tcPr>
            <w:tcW w:w="1191"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2,1%</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2 588</w:t>
            </w:r>
          </w:p>
        </w:tc>
        <w:tc>
          <w:tcPr>
            <w:tcW w:w="124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16,4%</w:t>
            </w:r>
          </w:p>
        </w:tc>
        <w:tc>
          <w:tcPr>
            <w:tcW w:w="1459"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2,4%</w:t>
            </w:r>
          </w:p>
        </w:tc>
      </w:tr>
      <w:tr>
        <w:tblPrEx>
          <w:tblW w:w="0" w:type="auto"/>
          <w:jc w:val="center"/>
          <w:tblCellMar>
            <w:left w:w="70" w:type="dxa"/>
            <w:right w:w="70" w:type="dxa"/>
          </w:tblCellMar>
          <w:tblLook w:val="04A0"/>
        </w:tblPrEx>
        <w:trPr>
          <w:cantSplit/>
          <w:trHeight w:val="227"/>
          <w:jc w:val="center"/>
        </w:trPr>
        <w:tc>
          <w:tcPr>
            <w:tcW w:w="0" w:type="auto"/>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Katowice</w:t>
            </w:r>
          </w:p>
        </w:tc>
        <w:tc>
          <w:tcPr>
            <w:tcW w:w="1701"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2 162</w:t>
            </w:r>
          </w:p>
        </w:tc>
        <w:tc>
          <w:tcPr>
            <w:tcW w:w="1191"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1,0%</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2 529</w:t>
            </w:r>
          </w:p>
        </w:tc>
        <w:tc>
          <w:tcPr>
            <w:tcW w:w="124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17,0%</w:t>
            </w:r>
          </w:p>
        </w:tc>
        <w:tc>
          <w:tcPr>
            <w:tcW w:w="1459"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1,2%</w:t>
            </w:r>
          </w:p>
        </w:tc>
      </w:tr>
      <w:tr>
        <w:tblPrEx>
          <w:tblW w:w="0" w:type="auto"/>
          <w:jc w:val="center"/>
          <w:tblCellMar>
            <w:left w:w="70" w:type="dxa"/>
            <w:right w:w="70" w:type="dxa"/>
          </w:tblCellMar>
          <w:tblLook w:val="04A0"/>
        </w:tblPrEx>
        <w:trPr>
          <w:cantSplit/>
          <w:trHeight w:val="227"/>
          <w:jc w:val="center"/>
        </w:trPr>
        <w:tc>
          <w:tcPr>
            <w:tcW w:w="0" w:type="auto"/>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Piekary Śląskie</w:t>
            </w:r>
          </w:p>
        </w:tc>
        <w:tc>
          <w:tcPr>
            <w:tcW w:w="1701"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1 067</w:t>
            </w:r>
          </w:p>
        </w:tc>
        <w:tc>
          <w:tcPr>
            <w:tcW w:w="1191"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7,4%</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1 174</w:t>
            </w:r>
          </w:p>
        </w:tc>
        <w:tc>
          <w:tcPr>
            <w:tcW w:w="124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10,0%</w:t>
            </w:r>
          </w:p>
        </w:tc>
        <w:tc>
          <w:tcPr>
            <w:tcW w:w="1459"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8,1%</w:t>
            </w:r>
          </w:p>
        </w:tc>
      </w:tr>
      <w:tr>
        <w:tblPrEx>
          <w:tblW w:w="0" w:type="auto"/>
          <w:jc w:val="center"/>
          <w:tblCellMar>
            <w:left w:w="70" w:type="dxa"/>
            <w:right w:w="70" w:type="dxa"/>
          </w:tblCellMar>
          <w:tblLook w:val="04A0"/>
        </w:tblPrEx>
        <w:trPr>
          <w:cantSplit/>
          <w:trHeight w:val="227"/>
          <w:jc w:val="center"/>
        </w:trPr>
        <w:tc>
          <w:tcPr>
            <w:tcW w:w="0" w:type="auto"/>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Ruda Śląska</w:t>
            </w:r>
          </w:p>
        </w:tc>
        <w:tc>
          <w:tcPr>
            <w:tcW w:w="1701"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1 127</w:t>
            </w:r>
          </w:p>
        </w:tc>
        <w:tc>
          <w:tcPr>
            <w:tcW w:w="1191"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2,7%</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1 292</w:t>
            </w:r>
          </w:p>
        </w:tc>
        <w:tc>
          <w:tcPr>
            <w:tcW w:w="124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14,6%</w:t>
            </w:r>
          </w:p>
        </w:tc>
        <w:tc>
          <w:tcPr>
            <w:tcW w:w="1459"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3,0%</w:t>
            </w:r>
          </w:p>
        </w:tc>
      </w:tr>
      <w:tr>
        <w:tblPrEx>
          <w:tblW w:w="0" w:type="auto"/>
          <w:jc w:val="center"/>
          <w:tblCellMar>
            <w:left w:w="70" w:type="dxa"/>
            <w:right w:w="70" w:type="dxa"/>
          </w:tblCellMar>
          <w:tblLook w:val="04A0"/>
        </w:tblPrEx>
        <w:trPr>
          <w:cantSplit/>
          <w:trHeight w:val="227"/>
          <w:jc w:val="center"/>
        </w:trPr>
        <w:tc>
          <w:tcPr>
            <w:tcW w:w="0" w:type="auto"/>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Rybnik</w:t>
            </w:r>
          </w:p>
        </w:tc>
        <w:tc>
          <w:tcPr>
            <w:tcW w:w="1701"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1 393</w:t>
            </w:r>
          </w:p>
        </w:tc>
        <w:tc>
          <w:tcPr>
            <w:tcW w:w="1191"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2,7%</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1 571</w:t>
            </w:r>
          </w:p>
        </w:tc>
        <w:tc>
          <w:tcPr>
            <w:tcW w:w="124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12,8%</w:t>
            </w:r>
          </w:p>
        </w:tc>
        <w:tc>
          <w:tcPr>
            <w:tcW w:w="1459"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3,0%</w:t>
            </w:r>
          </w:p>
        </w:tc>
      </w:tr>
      <w:tr>
        <w:tblPrEx>
          <w:tblW w:w="0" w:type="auto"/>
          <w:jc w:val="center"/>
          <w:tblCellMar>
            <w:left w:w="70" w:type="dxa"/>
            <w:right w:w="70" w:type="dxa"/>
          </w:tblCellMar>
          <w:tblLook w:val="04A0"/>
        </w:tblPrEx>
        <w:trPr>
          <w:cantSplit/>
          <w:trHeight w:val="227"/>
          <w:jc w:val="center"/>
        </w:trPr>
        <w:tc>
          <w:tcPr>
            <w:tcW w:w="0" w:type="auto"/>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Siemianowice Śląskie</w:t>
            </w:r>
          </w:p>
        </w:tc>
        <w:tc>
          <w:tcPr>
            <w:tcW w:w="1701"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798</w:t>
            </w:r>
          </w:p>
        </w:tc>
        <w:tc>
          <w:tcPr>
            <w:tcW w:w="1191"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3,8%</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946</w:t>
            </w:r>
          </w:p>
        </w:tc>
        <w:tc>
          <w:tcPr>
            <w:tcW w:w="124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18,5%</w:t>
            </w:r>
          </w:p>
        </w:tc>
        <w:tc>
          <w:tcPr>
            <w:tcW w:w="1459"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4,5%</w:t>
            </w:r>
          </w:p>
        </w:tc>
      </w:tr>
      <w:tr>
        <w:tblPrEx>
          <w:tblW w:w="0" w:type="auto"/>
          <w:jc w:val="center"/>
          <w:tblCellMar>
            <w:left w:w="70" w:type="dxa"/>
            <w:right w:w="70" w:type="dxa"/>
          </w:tblCellMar>
          <w:tblLook w:val="04A0"/>
        </w:tblPrEx>
        <w:trPr>
          <w:cantSplit/>
          <w:trHeight w:val="227"/>
          <w:jc w:val="center"/>
        </w:trPr>
        <w:tc>
          <w:tcPr>
            <w:tcW w:w="0" w:type="auto"/>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Świętochłowice</w:t>
            </w:r>
          </w:p>
        </w:tc>
        <w:tc>
          <w:tcPr>
            <w:tcW w:w="1701"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499</w:t>
            </w:r>
          </w:p>
        </w:tc>
        <w:tc>
          <w:tcPr>
            <w:tcW w:w="1191"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4,3%</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569</w:t>
            </w:r>
          </w:p>
        </w:tc>
        <w:tc>
          <w:tcPr>
            <w:tcW w:w="124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14,0%</w:t>
            </w:r>
          </w:p>
        </w:tc>
        <w:tc>
          <w:tcPr>
            <w:tcW w:w="1459"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4,9%</w:t>
            </w:r>
          </w:p>
        </w:tc>
      </w:tr>
      <w:tr>
        <w:tblPrEx>
          <w:tblW w:w="0" w:type="auto"/>
          <w:jc w:val="center"/>
          <w:tblCellMar>
            <w:left w:w="70" w:type="dxa"/>
            <w:right w:w="70" w:type="dxa"/>
          </w:tblCellMar>
          <w:tblLook w:val="04A0"/>
        </w:tblPrEx>
        <w:trPr>
          <w:cantSplit/>
          <w:trHeight w:val="227"/>
          <w:jc w:val="center"/>
        </w:trPr>
        <w:tc>
          <w:tcPr>
            <w:tcW w:w="0" w:type="auto"/>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Tychy</w:t>
            </w:r>
          </w:p>
        </w:tc>
        <w:tc>
          <w:tcPr>
            <w:tcW w:w="1701"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1 015</w:t>
            </w:r>
          </w:p>
        </w:tc>
        <w:tc>
          <w:tcPr>
            <w:tcW w:w="1191"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1,6%</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1 140</w:t>
            </w:r>
          </w:p>
        </w:tc>
        <w:tc>
          <w:tcPr>
            <w:tcW w:w="124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12,3%</w:t>
            </w:r>
          </w:p>
        </w:tc>
        <w:tc>
          <w:tcPr>
            <w:tcW w:w="1459"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1,8%</w:t>
            </w:r>
          </w:p>
        </w:tc>
      </w:tr>
      <w:tr>
        <w:tblPrEx>
          <w:tblW w:w="0" w:type="auto"/>
          <w:jc w:val="center"/>
          <w:tblCellMar>
            <w:left w:w="70" w:type="dxa"/>
            <w:right w:w="70" w:type="dxa"/>
          </w:tblCellMar>
          <w:tblLook w:val="04A0"/>
        </w:tblPrEx>
        <w:trPr>
          <w:cantSplit/>
          <w:trHeight w:val="227"/>
          <w:jc w:val="center"/>
        </w:trPr>
        <w:tc>
          <w:tcPr>
            <w:tcW w:w="0" w:type="auto"/>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Żory</w:t>
            </w:r>
          </w:p>
        </w:tc>
        <w:tc>
          <w:tcPr>
            <w:tcW w:w="1701"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692</w:t>
            </w:r>
          </w:p>
        </w:tc>
        <w:tc>
          <w:tcPr>
            <w:tcW w:w="1191"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3,1%</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793</w:t>
            </w:r>
          </w:p>
        </w:tc>
        <w:tc>
          <w:tcPr>
            <w:tcW w:w="124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14,6%</w:t>
            </w:r>
          </w:p>
        </w:tc>
        <w:tc>
          <w:tcPr>
            <w:tcW w:w="1459"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3,5%</w:t>
            </w:r>
          </w:p>
        </w:tc>
      </w:tr>
      <w:tr>
        <w:tblPrEx>
          <w:tblW w:w="0" w:type="auto"/>
          <w:jc w:val="center"/>
          <w:tblCellMar>
            <w:left w:w="70" w:type="dxa"/>
            <w:right w:w="70" w:type="dxa"/>
          </w:tblCellMar>
          <w:tblLook w:val="04A0"/>
        </w:tblPrEx>
        <w:trPr>
          <w:cantSplit/>
          <w:trHeight w:val="227"/>
          <w:jc w:val="center"/>
        </w:trPr>
        <w:tc>
          <w:tcPr>
            <w:tcW w:w="0" w:type="auto"/>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Elbląg</w:t>
            </w:r>
          </w:p>
        </w:tc>
        <w:tc>
          <w:tcPr>
            <w:tcW w:w="1701"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2 426</w:t>
            </w:r>
          </w:p>
        </w:tc>
        <w:tc>
          <w:tcPr>
            <w:tcW w:w="1191"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6,3%</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2 746</w:t>
            </w:r>
          </w:p>
        </w:tc>
        <w:tc>
          <w:tcPr>
            <w:tcW w:w="124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13,2%</w:t>
            </w:r>
          </w:p>
        </w:tc>
        <w:tc>
          <w:tcPr>
            <w:tcW w:w="1459"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7,1%</w:t>
            </w:r>
          </w:p>
        </w:tc>
      </w:tr>
      <w:tr>
        <w:tblPrEx>
          <w:tblW w:w="0" w:type="auto"/>
          <w:jc w:val="center"/>
          <w:tblCellMar>
            <w:left w:w="70" w:type="dxa"/>
            <w:right w:w="70" w:type="dxa"/>
          </w:tblCellMar>
          <w:tblLook w:val="04A0"/>
        </w:tblPrEx>
        <w:trPr>
          <w:cantSplit/>
          <w:trHeight w:val="227"/>
          <w:jc w:val="center"/>
        </w:trPr>
        <w:tc>
          <w:tcPr>
            <w:tcW w:w="0" w:type="auto"/>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Kalisz</w:t>
            </w:r>
          </w:p>
        </w:tc>
        <w:tc>
          <w:tcPr>
            <w:tcW w:w="1701"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1 453</w:t>
            </w:r>
          </w:p>
        </w:tc>
        <w:tc>
          <w:tcPr>
            <w:tcW w:w="1191"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3,3%</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1 655</w:t>
            </w:r>
          </w:p>
        </w:tc>
        <w:tc>
          <w:tcPr>
            <w:tcW w:w="124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13,9%</w:t>
            </w:r>
          </w:p>
        </w:tc>
        <w:tc>
          <w:tcPr>
            <w:tcW w:w="1459"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3,7%</w:t>
            </w:r>
          </w:p>
        </w:tc>
      </w:tr>
      <w:tr>
        <w:tblPrEx>
          <w:tblW w:w="0" w:type="auto"/>
          <w:jc w:val="center"/>
          <w:tblCellMar>
            <w:left w:w="70" w:type="dxa"/>
            <w:right w:w="70" w:type="dxa"/>
          </w:tblCellMar>
          <w:tblLook w:val="04A0"/>
        </w:tblPrEx>
        <w:trPr>
          <w:cantSplit/>
          <w:trHeight w:val="227"/>
          <w:jc w:val="center"/>
        </w:trPr>
        <w:tc>
          <w:tcPr>
            <w:tcW w:w="0" w:type="auto"/>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Poznań</w:t>
            </w:r>
          </w:p>
        </w:tc>
        <w:tc>
          <w:tcPr>
            <w:tcW w:w="1701"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3 524</w:t>
            </w:r>
          </w:p>
        </w:tc>
        <w:tc>
          <w:tcPr>
            <w:tcW w:w="1191"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1,0%</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4 001</w:t>
            </w:r>
          </w:p>
        </w:tc>
        <w:tc>
          <w:tcPr>
            <w:tcW w:w="124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13,5%</w:t>
            </w:r>
          </w:p>
        </w:tc>
        <w:tc>
          <w:tcPr>
            <w:tcW w:w="1459"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1,2%</w:t>
            </w:r>
          </w:p>
        </w:tc>
      </w:tr>
      <w:tr>
        <w:tblPrEx>
          <w:tblW w:w="0" w:type="auto"/>
          <w:jc w:val="center"/>
          <w:tblCellMar>
            <w:left w:w="70" w:type="dxa"/>
            <w:right w:w="70" w:type="dxa"/>
          </w:tblCellMar>
          <w:tblLook w:val="04A0"/>
        </w:tblPrEx>
        <w:trPr>
          <w:cantSplit/>
          <w:trHeight w:val="227"/>
          <w:jc w:val="center"/>
        </w:trPr>
        <w:tc>
          <w:tcPr>
            <w:tcW w:w="0" w:type="auto"/>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Koszalin</w:t>
            </w:r>
          </w:p>
        </w:tc>
        <w:tc>
          <w:tcPr>
            <w:tcW w:w="1701"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2 071</w:t>
            </w:r>
          </w:p>
        </w:tc>
        <w:tc>
          <w:tcPr>
            <w:tcW w:w="1191"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4,3%</w:t>
            </w:r>
          </w:p>
        </w:tc>
        <w:tc>
          <w:tcPr>
            <w:tcW w:w="170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2 413</w:t>
            </w:r>
          </w:p>
        </w:tc>
        <w:tc>
          <w:tcPr>
            <w:tcW w:w="124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16,5%</w:t>
            </w:r>
          </w:p>
        </w:tc>
        <w:tc>
          <w:tcPr>
            <w:tcW w:w="1459" w:type="dxa"/>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4,9%</w:t>
            </w:r>
          </w:p>
        </w:tc>
      </w:tr>
    </w:tbl>
    <w:p>
      <w:pPr>
        <w:keepNext w:val="0"/>
        <w:keepLines w:val="0"/>
        <w:widowControl/>
        <w:suppressLineNumbers w:val="0"/>
        <w:shd w:val="clear" w:color="auto" w:fill="auto"/>
        <w:suppressAutoHyphens w:val="0"/>
        <w:spacing w:before="0" w:beforeAutospacing="0" w:after="120" w:afterAutospacing="0" w:line="240" w:lineRule="auto"/>
        <w:ind w:left="0" w:right="0" w:firstLine="0"/>
        <w:contextualSpacing w:val="0"/>
        <w:jc w:val="center"/>
        <w:rPr>
          <w:rFonts w:eastAsia="Times New Roman" w:cs="Times New Roman"/>
          <w:b/>
          <w:szCs w:val="20"/>
          <w:lang w:bidi="ar-SA"/>
        </w:rPr>
      </w:pPr>
      <w:r>
        <w:rPr>
          <w:rFonts w:eastAsia="Times New Roman" w:cs="Times New Roman"/>
          <w:sz w:val="16"/>
          <w:szCs w:val="20"/>
          <w:lang w:bidi="ar-SA"/>
        </w:rPr>
        <w:t>*na podstawie danych MF</w:t>
      </w:r>
    </w:p>
    <w:p>
      <w:pPr>
        <w:keepNext w:val="0"/>
        <w:keepLines w:val="0"/>
        <w:widowControl/>
        <w:numPr>
          <w:ilvl w:val="0"/>
          <w:numId w:val="3"/>
        </w:numPr>
        <w:suppressLineNumbers w:val="0"/>
        <w:shd w:val="clear" w:color="auto" w:fill="auto"/>
        <w:suppressAutoHyphens w:val="0"/>
        <w:spacing w:before="0" w:beforeAutospacing="0" w:after="120" w:afterAutospacing="0" w:line="240" w:lineRule="auto"/>
        <w:ind w:left="340" w:right="0" w:hanging="340"/>
        <w:contextualSpacing w:val="0"/>
        <w:jc w:val="both"/>
        <w:rPr>
          <w:rFonts w:eastAsia="Times New Roman" w:cs="Times New Roman"/>
          <w:b/>
          <w:i/>
          <w:szCs w:val="20"/>
          <w:lang w:bidi="ar-SA"/>
        </w:rPr>
      </w:pPr>
      <w:r>
        <w:rPr>
          <w:rFonts w:eastAsia="Times New Roman" w:cs="Times New Roman"/>
          <w:b/>
          <w:i/>
          <w:szCs w:val="20"/>
          <w:lang w:bidi="ar-SA"/>
        </w:rPr>
        <w:t>Determinanta liczba dzieci uczęszczających do przedszkoli, oddziałów przedszkolnych w szkołach podstawowych i innych form wychowania przedszkolnego prowadzonych przez jst, osoby prawne niebędące jst oraz osoby fizyczne:</w:t>
      </w:r>
    </w:p>
    <w:p>
      <w:pPr>
        <w:keepNext w:val="0"/>
        <w:keepLines w:val="0"/>
        <w:widowControl/>
        <w:suppressLineNumbers w:val="0"/>
        <w:shd w:val="clear" w:color="auto" w:fill="FFFFFF"/>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 xml:space="preserve">Na wysokość indywidualnego wskaźnika zamożności Bytomia decydujący wpływ miało zmniejszenie przeliczeniowej liczby mieszkańców będący skutkiem spadku wartości większości determinant lub wzrostu znacząco niższego niż w innych MNPP. </w:t>
      </w:r>
    </w:p>
    <w:p>
      <w:pPr>
        <w:keepNext w:val="0"/>
        <w:keepLines w:val="0"/>
        <w:widowControl/>
        <w:suppressLineNumbers w:val="0"/>
        <w:shd w:val="clear" w:color="auto" w:fill="FFFFFF"/>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W przypadku przedmiotowej determinanty na rok 2026 uwzględniono dzieci w placówkach niepublicznych. Średni wzrost tej determinanty dla wszystkich MNPP (rok do roku) wyniósł 62%, przy wzroście dla Bytomia jedynie 11%.</w:t>
      </w:r>
    </w:p>
    <w:p>
      <w:pPr>
        <w:keepNext w:val="0"/>
        <w:keepLines w:val="0"/>
        <w:widowControl/>
        <w:suppressLineNumbers w:val="0"/>
        <w:shd w:val="clear" w:color="auto" w:fill="FFFFFF"/>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Z uwagi na powyższe, przy tak znaczących wzrostach w innych miastach kategorii MNPP (zwłaszcza w metropoliach i miastach wojewódzkich, gdzie skupia się większość placówek niepublicznych) pozycja mniejszych miast, borykających się z problemami demograficznymi ulega pogorszeniu, powodując przy tym wyliczenia skutkujące spadkiem przeliczeniowej liczby mieszkańców.</w:t>
      </w:r>
    </w:p>
    <w:p>
      <w:pPr>
        <w:keepNext w:val="0"/>
        <w:keepLines w:val="0"/>
        <w:widowControl/>
        <w:suppressLineNumbers w:val="0"/>
        <w:shd w:val="clear" w:color="auto" w:fill="FFFFFF"/>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Zatem jeżeli miastu spada jedna z determinant w porównaniu z innymi samorządami, takimi jak np. Gdańsk, gdzie przyrost dzieci w przedszkolach niepublicznych w badanym okresie wynosił 197,1% (podczas gdy w Bytomiu 11%), to będzie ono „coraz zamożniejsze”, a jego przeliczeniowa liczba mieszkańców będzie spadać. Dla celów weryfikacji mechanizmów dokonano przeliczenia wg zadanego pytania „Jaka byłaby przeliczeniowa liczba mieszkańców Bytomia, gdyby determinanta w tym obszarze wzrosła w analogicznym okresie o przyrost procentowy taki jak w mieście Gdańsk (197%). Uzyskano przy wzroście o 8 948 dzieci wzrost przeliczeniowej liczby mieszkańców aż o ponad 33 200 osób, przy spadku w innych miastach na prawach powiatu, co znacząco pogorszyłoby wskaźnik zamożności miasta i zdefiniowałoby miasto jako zdecydowanie mniej zamożne, a nawet o znaczących potrzebach (jego wskaźnik wynosiłby tylko 62,41%, co dałoby miastu znacznie większe transfery z budżetu państwa w roku 2026 aż o ponad 225 mln zł).</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Nasuwa to następujący wniosek. Mechanizmy wyrównawcze wynikające z ustawy przekierowują transfery z budżetu państwa do takich miast jak Gdańsk, Warszawa, Kraków, Wrocław itp. Samorządy, w których spada np. liczba dzieci w przedszkolach (rzeczą jasną jest, że nie ma możliwości prawnych i organizacyjnych do likwidacji placówek oświatowych z dnia na dzień), nie biorą udziału w mechanizmie wyrównawczym z budżetu państwa, by umożliwić im w okresie kilku lat przeorganizowanie systemu placówek oświatowych lecz dodatkowo tracą. W dużych miastach, gdzie przyrost dzieci w przedszkolach niepublicznych jest znaczący (nawet kosztem publicznych) samorządy będą zyskiwały w tym systemie podwójnie: na potrzebach oświatowych i przeliczeniowej liczbie wynikającej z wyliczeń metryczek oświatowych (ilość dzieci, uczniów itp.) oraz przeliczeniowej liczbie mieszkańców zabierając mieszkańców przeliczeniowo takim miastom jak Bytom.</w:t>
      </w:r>
    </w:p>
    <w:p>
      <w:pPr>
        <w:keepNext w:val="0"/>
        <w:keepLines w:val="0"/>
        <w:widowControl/>
        <w:suppressLineNumbers w:val="0"/>
        <w:shd w:val="clear" w:color="auto" w:fill="auto"/>
        <w:suppressAutoHyphens w:val="0"/>
        <w:spacing w:before="0" w:beforeAutospacing="0" w:after="12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Poniżej tabela z wybranymi MNPP prezentująca wyżej opisaną determinantę*:</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2164"/>
        <w:gridCol w:w="3485"/>
        <w:gridCol w:w="3371"/>
        <w:gridCol w:w="1274"/>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Ex>
        <w:trPr>
          <w:cantSplit/>
          <w:trHeight w:val="227"/>
          <w:jc w:val="center"/>
        </w:trPr>
        <w:tc>
          <w:tcPr>
            <w:tcW w:w="0" w:type="auto"/>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Nazwa JST</w:t>
            </w:r>
          </w:p>
        </w:tc>
        <w:tc>
          <w:tcPr>
            <w:tcW w:w="3345"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liczba dzieci uczęszczających do przedszkoli, oddz. przedszkolnych w szkołach podstaw. i innych form wychowania przedszkolnego prowadzonych przez jst, osoby prawne niebędące jst oraz osoby fizyczne – 2022</w:t>
            </w:r>
          </w:p>
        </w:tc>
        <w:tc>
          <w:tcPr>
            <w:tcW w:w="3231"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liczba dzieci uczęszczających do przedszkoli, oddz. przedszkolnych w szkołach podstaw. i innych form wychowania przedszkolnego prowadzonych przez jst, osoby prawne niebędące jst oraz osoby fizyczne – 2023</w:t>
            </w:r>
          </w:p>
        </w:tc>
        <w:tc>
          <w:tcPr>
            <w:tcW w:w="1134"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zmiana w %</w:t>
            </w:r>
          </w:p>
        </w:tc>
      </w:tr>
      <w:tr>
        <w:tblPrEx>
          <w:tblW w:w="0" w:type="auto"/>
          <w:jc w:val="center"/>
          <w:tblCellMar>
            <w:left w:w="70" w:type="dxa"/>
            <w:right w:w="70" w:type="dxa"/>
          </w:tblCellMar>
          <w:tblLook w:val="04A0"/>
        </w:tblPrEx>
        <w:trPr>
          <w:cantSplit/>
          <w:trHeight w:val="227"/>
          <w:jc w:val="center"/>
        </w:trPr>
        <w:tc>
          <w:tcPr>
            <w:tcW w:w="0" w:type="auto"/>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Wrocław</w:t>
            </w:r>
          </w:p>
        </w:tc>
        <w:tc>
          <w:tcPr>
            <w:tcW w:w="3345" w:type="dxa"/>
            <w:shd w:val="clear" w:color="000000" w:fill="FFFFFF"/>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134" w:firstLine="0"/>
              <w:contextualSpacing w:val="0"/>
              <w:jc w:val="right"/>
              <w:rPr>
                <w:rFonts w:eastAsia="Times New Roman" w:cs="Times New Roman"/>
                <w:sz w:val="20"/>
                <w:szCs w:val="20"/>
                <w:lang w:bidi="ar-SA"/>
              </w:rPr>
            </w:pPr>
            <w:r>
              <w:rPr>
                <w:rFonts w:eastAsia="Times New Roman" w:cs="Times New Roman"/>
                <w:sz w:val="20"/>
                <w:szCs w:val="20"/>
                <w:lang w:bidi="ar-SA"/>
              </w:rPr>
              <w:t>16 445</w:t>
            </w:r>
          </w:p>
        </w:tc>
        <w:tc>
          <w:tcPr>
            <w:tcW w:w="3231"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134" w:firstLine="0"/>
              <w:contextualSpacing w:val="0"/>
              <w:jc w:val="right"/>
              <w:rPr>
                <w:rFonts w:eastAsia="Times New Roman" w:cs="Times New Roman"/>
                <w:sz w:val="20"/>
                <w:szCs w:val="20"/>
                <w:lang w:bidi="ar-SA"/>
              </w:rPr>
            </w:pPr>
            <w:r>
              <w:rPr>
                <w:rFonts w:eastAsia="Times New Roman" w:cs="Times New Roman"/>
                <w:sz w:val="20"/>
                <w:szCs w:val="20"/>
                <w:lang w:bidi="ar-SA"/>
              </w:rPr>
              <w:t>29 423</w:t>
            </w:r>
          </w:p>
        </w:tc>
        <w:tc>
          <w:tcPr>
            <w:tcW w:w="1134"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70" w:firstLine="0"/>
              <w:contextualSpacing w:val="0"/>
              <w:jc w:val="right"/>
              <w:rPr>
                <w:rFonts w:eastAsia="Times New Roman" w:cs="Times New Roman"/>
                <w:sz w:val="20"/>
                <w:szCs w:val="20"/>
                <w:lang w:bidi="ar-SA"/>
              </w:rPr>
            </w:pPr>
            <w:r>
              <w:rPr>
                <w:rFonts w:eastAsia="Times New Roman" w:cs="Times New Roman"/>
                <w:sz w:val="20"/>
                <w:szCs w:val="20"/>
                <w:lang w:bidi="ar-SA"/>
              </w:rPr>
              <w:t>78,9%</w:t>
            </w:r>
          </w:p>
        </w:tc>
      </w:tr>
      <w:tr>
        <w:tblPrEx>
          <w:tblW w:w="0" w:type="auto"/>
          <w:jc w:val="center"/>
          <w:tblCellMar>
            <w:left w:w="70" w:type="dxa"/>
            <w:right w:w="70" w:type="dxa"/>
          </w:tblCellMar>
          <w:tblLook w:val="04A0"/>
        </w:tblPrEx>
        <w:trPr>
          <w:cantSplit/>
          <w:trHeight w:val="227"/>
          <w:jc w:val="center"/>
        </w:trPr>
        <w:tc>
          <w:tcPr>
            <w:tcW w:w="0" w:type="auto"/>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Wałbrzych</w:t>
            </w:r>
          </w:p>
        </w:tc>
        <w:tc>
          <w:tcPr>
            <w:tcW w:w="3345" w:type="dxa"/>
            <w:shd w:val="clear" w:color="000000" w:fill="FFFFFF"/>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134" w:firstLine="0"/>
              <w:contextualSpacing w:val="0"/>
              <w:jc w:val="right"/>
              <w:rPr>
                <w:rFonts w:eastAsia="Times New Roman" w:cs="Times New Roman"/>
                <w:sz w:val="20"/>
                <w:szCs w:val="20"/>
                <w:lang w:bidi="ar-SA"/>
              </w:rPr>
            </w:pPr>
            <w:r>
              <w:rPr>
                <w:rFonts w:eastAsia="Times New Roman" w:cs="Times New Roman"/>
                <w:sz w:val="20"/>
                <w:szCs w:val="20"/>
                <w:lang w:bidi="ar-SA"/>
              </w:rPr>
              <w:t>1 420</w:t>
            </w:r>
          </w:p>
        </w:tc>
        <w:tc>
          <w:tcPr>
            <w:tcW w:w="3231"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134" w:firstLine="0"/>
              <w:contextualSpacing w:val="0"/>
              <w:jc w:val="right"/>
              <w:rPr>
                <w:rFonts w:eastAsia="Times New Roman" w:cs="Times New Roman"/>
                <w:sz w:val="20"/>
                <w:szCs w:val="20"/>
                <w:lang w:bidi="ar-SA"/>
              </w:rPr>
            </w:pPr>
            <w:r>
              <w:rPr>
                <w:rFonts w:eastAsia="Times New Roman" w:cs="Times New Roman"/>
                <w:sz w:val="20"/>
                <w:szCs w:val="20"/>
                <w:lang w:bidi="ar-SA"/>
              </w:rPr>
              <w:t>2 995</w:t>
            </w:r>
          </w:p>
        </w:tc>
        <w:tc>
          <w:tcPr>
            <w:tcW w:w="1134"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70" w:firstLine="0"/>
              <w:contextualSpacing w:val="0"/>
              <w:jc w:val="right"/>
              <w:rPr>
                <w:rFonts w:eastAsia="Times New Roman" w:cs="Times New Roman"/>
                <w:sz w:val="20"/>
                <w:szCs w:val="20"/>
                <w:lang w:bidi="ar-SA"/>
              </w:rPr>
            </w:pPr>
            <w:r>
              <w:rPr>
                <w:rFonts w:eastAsia="Times New Roman" w:cs="Times New Roman"/>
                <w:sz w:val="20"/>
                <w:szCs w:val="20"/>
                <w:lang w:bidi="ar-SA"/>
              </w:rPr>
              <w:t>110,9%</w:t>
            </w:r>
          </w:p>
        </w:tc>
      </w:tr>
      <w:tr>
        <w:tblPrEx>
          <w:tblW w:w="0" w:type="auto"/>
          <w:jc w:val="center"/>
          <w:tblCellMar>
            <w:left w:w="70" w:type="dxa"/>
            <w:right w:w="70" w:type="dxa"/>
          </w:tblCellMar>
          <w:tblLook w:val="04A0"/>
        </w:tblPrEx>
        <w:trPr>
          <w:cantSplit/>
          <w:trHeight w:val="227"/>
          <w:jc w:val="center"/>
        </w:trPr>
        <w:tc>
          <w:tcPr>
            <w:tcW w:w="0" w:type="auto"/>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Bydgoszcz</w:t>
            </w:r>
          </w:p>
        </w:tc>
        <w:tc>
          <w:tcPr>
            <w:tcW w:w="3345" w:type="dxa"/>
            <w:shd w:val="clear" w:color="000000" w:fill="FFFFFF"/>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134" w:firstLine="0"/>
              <w:contextualSpacing w:val="0"/>
              <w:jc w:val="right"/>
              <w:rPr>
                <w:rFonts w:eastAsia="Times New Roman" w:cs="Times New Roman"/>
                <w:sz w:val="20"/>
                <w:szCs w:val="20"/>
                <w:lang w:bidi="ar-SA"/>
              </w:rPr>
            </w:pPr>
            <w:r>
              <w:rPr>
                <w:rFonts w:eastAsia="Times New Roman" w:cs="Times New Roman"/>
                <w:sz w:val="20"/>
                <w:szCs w:val="20"/>
                <w:lang w:bidi="ar-SA"/>
              </w:rPr>
              <w:t>4 688</w:t>
            </w:r>
          </w:p>
        </w:tc>
        <w:tc>
          <w:tcPr>
            <w:tcW w:w="3231"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134" w:firstLine="0"/>
              <w:contextualSpacing w:val="0"/>
              <w:jc w:val="right"/>
              <w:rPr>
                <w:rFonts w:eastAsia="Times New Roman" w:cs="Times New Roman"/>
                <w:sz w:val="20"/>
                <w:szCs w:val="20"/>
                <w:lang w:bidi="ar-SA"/>
              </w:rPr>
            </w:pPr>
            <w:r>
              <w:rPr>
                <w:rFonts w:eastAsia="Times New Roman" w:cs="Times New Roman"/>
                <w:sz w:val="20"/>
                <w:szCs w:val="20"/>
                <w:lang w:bidi="ar-SA"/>
              </w:rPr>
              <w:t>12 532</w:t>
            </w:r>
          </w:p>
        </w:tc>
        <w:tc>
          <w:tcPr>
            <w:tcW w:w="1134"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70" w:firstLine="0"/>
              <w:contextualSpacing w:val="0"/>
              <w:jc w:val="right"/>
              <w:rPr>
                <w:rFonts w:eastAsia="Times New Roman" w:cs="Times New Roman"/>
                <w:sz w:val="20"/>
                <w:szCs w:val="20"/>
                <w:lang w:bidi="ar-SA"/>
              </w:rPr>
            </w:pPr>
            <w:r>
              <w:rPr>
                <w:rFonts w:eastAsia="Times New Roman" w:cs="Times New Roman"/>
                <w:sz w:val="20"/>
                <w:szCs w:val="20"/>
                <w:lang w:bidi="ar-SA"/>
              </w:rPr>
              <w:t>167,3%</w:t>
            </w:r>
          </w:p>
        </w:tc>
      </w:tr>
      <w:tr>
        <w:tblPrEx>
          <w:tblW w:w="0" w:type="auto"/>
          <w:jc w:val="center"/>
          <w:tblCellMar>
            <w:left w:w="70" w:type="dxa"/>
            <w:right w:w="70" w:type="dxa"/>
          </w:tblCellMar>
          <w:tblLook w:val="04A0"/>
        </w:tblPrEx>
        <w:trPr>
          <w:cantSplit/>
          <w:trHeight w:val="227"/>
          <w:jc w:val="center"/>
        </w:trPr>
        <w:tc>
          <w:tcPr>
            <w:tcW w:w="0" w:type="auto"/>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Gorzów Wielkopolski</w:t>
            </w:r>
          </w:p>
        </w:tc>
        <w:tc>
          <w:tcPr>
            <w:tcW w:w="3345" w:type="dxa"/>
            <w:shd w:val="clear" w:color="000000" w:fill="FFFFFF"/>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134" w:firstLine="0"/>
              <w:contextualSpacing w:val="0"/>
              <w:jc w:val="right"/>
              <w:rPr>
                <w:rFonts w:eastAsia="Times New Roman" w:cs="Times New Roman"/>
                <w:sz w:val="20"/>
                <w:szCs w:val="20"/>
                <w:lang w:bidi="ar-SA"/>
              </w:rPr>
            </w:pPr>
            <w:r>
              <w:rPr>
                <w:rFonts w:eastAsia="Times New Roman" w:cs="Times New Roman"/>
                <w:sz w:val="20"/>
                <w:szCs w:val="20"/>
                <w:lang w:bidi="ar-SA"/>
              </w:rPr>
              <w:t>4 056</w:t>
            </w:r>
          </w:p>
        </w:tc>
        <w:tc>
          <w:tcPr>
            <w:tcW w:w="3231"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134" w:firstLine="0"/>
              <w:contextualSpacing w:val="0"/>
              <w:jc w:val="right"/>
              <w:rPr>
                <w:rFonts w:eastAsia="Times New Roman" w:cs="Times New Roman"/>
                <w:sz w:val="20"/>
                <w:szCs w:val="20"/>
                <w:lang w:bidi="ar-SA"/>
              </w:rPr>
            </w:pPr>
            <w:r>
              <w:rPr>
                <w:rFonts w:eastAsia="Times New Roman" w:cs="Times New Roman"/>
                <w:sz w:val="20"/>
                <w:szCs w:val="20"/>
                <w:lang w:bidi="ar-SA"/>
              </w:rPr>
              <w:t>4 837</w:t>
            </w:r>
          </w:p>
        </w:tc>
        <w:tc>
          <w:tcPr>
            <w:tcW w:w="1134"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70" w:firstLine="0"/>
              <w:contextualSpacing w:val="0"/>
              <w:jc w:val="right"/>
              <w:rPr>
                <w:rFonts w:eastAsia="Times New Roman" w:cs="Times New Roman"/>
                <w:sz w:val="20"/>
                <w:szCs w:val="20"/>
                <w:lang w:bidi="ar-SA"/>
              </w:rPr>
            </w:pPr>
            <w:r>
              <w:rPr>
                <w:rFonts w:eastAsia="Times New Roman" w:cs="Times New Roman"/>
                <w:sz w:val="20"/>
                <w:szCs w:val="20"/>
                <w:lang w:bidi="ar-SA"/>
              </w:rPr>
              <w:t>19,3%</w:t>
            </w:r>
          </w:p>
        </w:tc>
      </w:tr>
      <w:tr>
        <w:tblPrEx>
          <w:tblW w:w="0" w:type="auto"/>
          <w:jc w:val="center"/>
          <w:tblCellMar>
            <w:left w:w="70" w:type="dxa"/>
            <w:right w:w="70" w:type="dxa"/>
          </w:tblCellMar>
          <w:tblLook w:val="04A0"/>
        </w:tblPrEx>
        <w:trPr>
          <w:cantSplit/>
          <w:trHeight w:val="227"/>
          <w:jc w:val="center"/>
        </w:trPr>
        <w:tc>
          <w:tcPr>
            <w:tcW w:w="0" w:type="auto"/>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Zielona Góra</w:t>
            </w:r>
          </w:p>
        </w:tc>
        <w:tc>
          <w:tcPr>
            <w:tcW w:w="3345" w:type="dxa"/>
            <w:shd w:val="clear" w:color="000000" w:fill="FFFFFF"/>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134" w:firstLine="0"/>
              <w:contextualSpacing w:val="0"/>
              <w:jc w:val="right"/>
              <w:rPr>
                <w:rFonts w:eastAsia="Times New Roman" w:cs="Times New Roman"/>
                <w:sz w:val="20"/>
                <w:szCs w:val="20"/>
                <w:lang w:bidi="ar-SA"/>
              </w:rPr>
            </w:pPr>
            <w:r>
              <w:rPr>
                <w:rFonts w:eastAsia="Times New Roman" w:cs="Times New Roman"/>
                <w:sz w:val="20"/>
                <w:szCs w:val="20"/>
                <w:lang w:bidi="ar-SA"/>
              </w:rPr>
              <w:t>4 768</w:t>
            </w:r>
          </w:p>
        </w:tc>
        <w:tc>
          <w:tcPr>
            <w:tcW w:w="3231"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134" w:firstLine="0"/>
              <w:contextualSpacing w:val="0"/>
              <w:jc w:val="right"/>
              <w:rPr>
                <w:rFonts w:eastAsia="Times New Roman" w:cs="Times New Roman"/>
                <w:sz w:val="20"/>
                <w:szCs w:val="20"/>
                <w:lang w:bidi="ar-SA"/>
              </w:rPr>
            </w:pPr>
            <w:r>
              <w:rPr>
                <w:rFonts w:eastAsia="Times New Roman" w:cs="Times New Roman"/>
                <w:sz w:val="20"/>
                <w:szCs w:val="20"/>
                <w:lang w:bidi="ar-SA"/>
              </w:rPr>
              <w:t>6 110</w:t>
            </w:r>
          </w:p>
        </w:tc>
        <w:tc>
          <w:tcPr>
            <w:tcW w:w="1134"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70" w:firstLine="0"/>
              <w:contextualSpacing w:val="0"/>
              <w:jc w:val="right"/>
              <w:rPr>
                <w:rFonts w:eastAsia="Times New Roman" w:cs="Times New Roman"/>
                <w:sz w:val="20"/>
                <w:szCs w:val="20"/>
                <w:lang w:bidi="ar-SA"/>
              </w:rPr>
            </w:pPr>
            <w:r>
              <w:rPr>
                <w:rFonts w:eastAsia="Times New Roman" w:cs="Times New Roman"/>
                <w:sz w:val="20"/>
                <w:szCs w:val="20"/>
                <w:lang w:bidi="ar-SA"/>
              </w:rPr>
              <w:t>28,1%</w:t>
            </w:r>
          </w:p>
        </w:tc>
      </w:tr>
      <w:tr>
        <w:tblPrEx>
          <w:tblW w:w="0" w:type="auto"/>
          <w:jc w:val="center"/>
          <w:tblCellMar>
            <w:left w:w="70" w:type="dxa"/>
            <w:right w:w="70" w:type="dxa"/>
          </w:tblCellMar>
          <w:tblLook w:val="04A0"/>
        </w:tblPrEx>
        <w:trPr>
          <w:cantSplit/>
          <w:trHeight w:val="227"/>
          <w:jc w:val="center"/>
        </w:trPr>
        <w:tc>
          <w:tcPr>
            <w:tcW w:w="0" w:type="auto"/>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Kraków</w:t>
            </w:r>
          </w:p>
        </w:tc>
        <w:tc>
          <w:tcPr>
            <w:tcW w:w="3345" w:type="dxa"/>
            <w:shd w:val="clear" w:color="000000" w:fill="FFFFFF"/>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134" w:firstLine="0"/>
              <w:contextualSpacing w:val="0"/>
              <w:jc w:val="right"/>
              <w:rPr>
                <w:rFonts w:eastAsia="Times New Roman" w:cs="Times New Roman"/>
                <w:sz w:val="20"/>
                <w:szCs w:val="20"/>
                <w:lang w:bidi="ar-SA"/>
              </w:rPr>
            </w:pPr>
            <w:r>
              <w:rPr>
                <w:rFonts w:eastAsia="Times New Roman" w:cs="Times New Roman"/>
                <w:sz w:val="20"/>
                <w:szCs w:val="20"/>
                <w:lang w:bidi="ar-SA"/>
              </w:rPr>
              <w:t>17 485</w:t>
            </w:r>
          </w:p>
        </w:tc>
        <w:tc>
          <w:tcPr>
            <w:tcW w:w="3231"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134" w:firstLine="0"/>
              <w:contextualSpacing w:val="0"/>
              <w:jc w:val="right"/>
              <w:rPr>
                <w:rFonts w:eastAsia="Times New Roman" w:cs="Times New Roman"/>
                <w:sz w:val="20"/>
                <w:szCs w:val="20"/>
                <w:lang w:bidi="ar-SA"/>
              </w:rPr>
            </w:pPr>
            <w:r>
              <w:rPr>
                <w:rFonts w:eastAsia="Times New Roman" w:cs="Times New Roman"/>
                <w:sz w:val="20"/>
                <w:szCs w:val="20"/>
                <w:lang w:bidi="ar-SA"/>
              </w:rPr>
              <w:t>36 097</w:t>
            </w:r>
          </w:p>
        </w:tc>
        <w:tc>
          <w:tcPr>
            <w:tcW w:w="1134"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70" w:firstLine="0"/>
              <w:contextualSpacing w:val="0"/>
              <w:jc w:val="right"/>
              <w:rPr>
                <w:rFonts w:eastAsia="Times New Roman" w:cs="Times New Roman"/>
                <w:sz w:val="20"/>
                <w:szCs w:val="20"/>
                <w:lang w:bidi="ar-SA"/>
              </w:rPr>
            </w:pPr>
            <w:r>
              <w:rPr>
                <w:rFonts w:eastAsia="Times New Roman" w:cs="Times New Roman"/>
                <w:sz w:val="20"/>
                <w:szCs w:val="20"/>
                <w:lang w:bidi="ar-SA"/>
              </w:rPr>
              <w:t>106,4%</w:t>
            </w:r>
          </w:p>
        </w:tc>
      </w:tr>
      <w:tr>
        <w:tblPrEx>
          <w:tblW w:w="0" w:type="auto"/>
          <w:jc w:val="center"/>
          <w:tblCellMar>
            <w:left w:w="70" w:type="dxa"/>
            <w:right w:w="70" w:type="dxa"/>
          </w:tblCellMar>
          <w:tblLook w:val="04A0"/>
        </w:tblPrEx>
        <w:trPr>
          <w:cantSplit/>
          <w:trHeight w:val="227"/>
          <w:jc w:val="center"/>
        </w:trPr>
        <w:tc>
          <w:tcPr>
            <w:tcW w:w="0" w:type="auto"/>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m. st. Warszawa</w:t>
            </w:r>
          </w:p>
        </w:tc>
        <w:tc>
          <w:tcPr>
            <w:tcW w:w="3345" w:type="dxa"/>
            <w:shd w:val="clear" w:color="000000" w:fill="FFFFFF"/>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134" w:firstLine="0"/>
              <w:contextualSpacing w:val="0"/>
              <w:jc w:val="right"/>
              <w:rPr>
                <w:rFonts w:eastAsia="Times New Roman" w:cs="Times New Roman"/>
                <w:sz w:val="20"/>
                <w:szCs w:val="20"/>
                <w:lang w:bidi="ar-SA"/>
              </w:rPr>
            </w:pPr>
            <w:r>
              <w:rPr>
                <w:rFonts w:eastAsia="Times New Roman" w:cs="Times New Roman"/>
                <w:sz w:val="20"/>
                <w:szCs w:val="20"/>
                <w:lang w:bidi="ar-SA"/>
              </w:rPr>
              <w:t>47 824</w:t>
            </w:r>
          </w:p>
        </w:tc>
        <w:tc>
          <w:tcPr>
            <w:tcW w:w="3231"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134" w:firstLine="0"/>
              <w:contextualSpacing w:val="0"/>
              <w:jc w:val="right"/>
              <w:rPr>
                <w:rFonts w:eastAsia="Times New Roman" w:cs="Times New Roman"/>
                <w:sz w:val="20"/>
                <w:szCs w:val="20"/>
                <w:lang w:bidi="ar-SA"/>
              </w:rPr>
            </w:pPr>
            <w:r>
              <w:rPr>
                <w:rFonts w:eastAsia="Times New Roman" w:cs="Times New Roman"/>
                <w:sz w:val="20"/>
                <w:szCs w:val="20"/>
                <w:lang w:bidi="ar-SA"/>
              </w:rPr>
              <w:t>84 718</w:t>
            </w:r>
          </w:p>
        </w:tc>
        <w:tc>
          <w:tcPr>
            <w:tcW w:w="1134"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70" w:firstLine="0"/>
              <w:contextualSpacing w:val="0"/>
              <w:jc w:val="right"/>
              <w:rPr>
                <w:rFonts w:eastAsia="Times New Roman" w:cs="Times New Roman"/>
                <w:sz w:val="20"/>
                <w:szCs w:val="20"/>
                <w:lang w:bidi="ar-SA"/>
              </w:rPr>
            </w:pPr>
            <w:r>
              <w:rPr>
                <w:rFonts w:eastAsia="Times New Roman" w:cs="Times New Roman"/>
                <w:sz w:val="20"/>
                <w:szCs w:val="20"/>
                <w:lang w:bidi="ar-SA"/>
              </w:rPr>
              <w:t>77,1%</w:t>
            </w:r>
          </w:p>
        </w:tc>
      </w:tr>
      <w:tr>
        <w:tblPrEx>
          <w:tblW w:w="0" w:type="auto"/>
          <w:jc w:val="center"/>
          <w:tblCellMar>
            <w:left w:w="70" w:type="dxa"/>
            <w:right w:w="70" w:type="dxa"/>
          </w:tblCellMar>
          <w:tblLook w:val="04A0"/>
        </w:tblPrEx>
        <w:trPr>
          <w:cantSplit/>
          <w:trHeight w:val="227"/>
          <w:jc w:val="center"/>
        </w:trPr>
        <w:tc>
          <w:tcPr>
            <w:tcW w:w="0" w:type="auto"/>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Gdańsk</w:t>
            </w:r>
          </w:p>
        </w:tc>
        <w:tc>
          <w:tcPr>
            <w:tcW w:w="3345" w:type="dxa"/>
            <w:shd w:val="clear" w:color="000000" w:fill="FFFFFF"/>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134" w:firstLine="0"/>
              <w:contextualSpacing w:val="0"/>
              <w:jc w:val="right"/>
              <w:rPr>
                <w:rFonts w:eastAsia="Times New Roman" w:cs="Times New Roman"/>
                <w:sz w:val="20"/>
                <w:szCs w:val="20"/>
                <w:lang w:bidi="ar-SA"/>
              </w:rPr>
            </w:pPr>
            <w:r>
              <w:rPr>
                <w:rFonts w:eastAsia="Times New Roman" w:cs="Times New Roman"/>
                <w:sz w:val="20"/>
                <w:szCs w:val="20"/>
                <w:lang w:bidi="ar-SA"/>
              </w:rPr>
              <w:t>6 958</w:t>
            </w:r>
          </w:p>
        </w:tc>
        <w:tc>
          <w:tcPr>
            <w:tcW w:w="3231"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134" w:firstLine="0"/>
              <w:contextualSpacing w:val="0"/>
              <w:jc w:val="right"/>
              <w:rPr>
                <w:rFonts w:eastAsia="Times New Roman" w:cs="Times New Roman"/>
                <w:sz w:val="20"/>
                <w:szCs w:val="20"/>
                <w:lang w:bidi="ar-SA"/>
              </w:rPr>
            </w:pPr>
            <w:r>
              <w:rPr>
                <w:rFonts w:eastAsia="Times New Roman" w:cs="Times New Roman"/>
                <w:sz w:val="20"/>
                <w:szCs w:val="20"/>
                <w:lang w:bidi="ar-SA"/>
              </w:rPr>
              <w:t>20 669</w:t>
            </w:r>
          </w:p>
        </w:tc>
        <w:tc>
          <w:tcPr>
            <w:tcW w:w="1134"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70" w:firstLine="0"/>
              <w:contextualSpacing w:val="0"/>
              <w:jc w:val="right"/>
              <w:rPr>
                <w:rFonts w:eastAsia="Times New Roman" w:cs="Times New Roman"/>
                <w:sz w:val="20"/>
                <w:szCs w:val="20"/>
                <w:lang w:bidi="ar-SA"/>
              </w:rPr>
            </w:pPr>
            <w:r>
              <w:rPr>
                <w:rFonts w:eastAsia="Times New Roman" w:cs="Times New Roman"/>
                <w:sz w:val="20"/>
                <w:szCs w:val="20"/>
                <w:lang w:bidi="ar-SA"/>
              </w:rPr>
              <w:t>197,1%</w:t>
            </w:r>
          </w:p>
        </w:tc>
      </w:tr>
      <w:tr>
        <w:tblPrEx>
          <w:tblW w:w="0" w:type="auto"/>
          <w:jc w:val="center"/>
          <w:tblCellMar>
            <w:left w:w="70" w:type="dxa"/>
            <w:right w:w="70" w:type="dxa"/>
          </w:tblCellMar>
          <w:tblLook w:val="04A0"/>
        </w:tblPrEx>
        <w:trPr>
          <w:cantSplit/>
          <w:trHeight w:val="227"/>
          <w:jc w:val="center"/>
        </w:trPr>
        <w:tc>
          <w:tcPr>
            <w:tcW w:w="0" w:type="auto"/>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Gdynia</w:t>
            </w:r>
          </w:p>
        </w:tc>
        <w:tc>
          <w:tcPr>
            <w:tcW w:w="3345" w:type="dxa"/>
            <w:shd w:val="clear" w:color="000000" w:fill="FFFFFF"/>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134" w:firstLine="0"/>
              <w:contextualSpacing w:val="0"/>
              <w:jc w:val="right"/>
              <w:rPr>
                <w:rFonts w:eastAsia="Times New Roman" w:cs="Times New Roman"/>
                <w:sz w:val="20"/>
                <w:szCs w:val="20"/>
                <w:lang w:bidi="ar-SA"/>
              </w:rPr>
            </w:pPr>
            <w:r>
              <w:rPr>
                <w:rFonts w:eastAsia="Times New Roman" w:cs="Times New Roman"/>
                <w:sz w:val="20"/>
                <w:szCs w:val="20"/>
                <w:lang w:bidi="ar-SA"/>
              </w:rPr>
              <w:t>5 649</w:t>
            </w:r>
          </w:p>
        </w:tc>
        <w:tc>
          <w:tcPr>
            <w:tcW w:w="3231"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134" w:firstLine="0"/>
              <w:contextualSpacing w:val="0"/>
              <w:jc w:val="right"/>
              <w:rPr>
                <w:rFonts w:eastAsia="Times New Roman" w:cs="Times New Roman"/>
                <w:sz w:val="20"/>
                <w:szCs w:val="20"/>
                <w:lang w:bidi="ar-SA"/>
              </w:rPr>
            </w:pPr>
            <w:r>
              <w:rPr>
                <w:rFonts w:eastAsia="Times New Roman" w:cs="Times New Roman"/>
                <w:sz w:val="20"/>
                <w:szCs w:val="20"/>
                <w:lang w:bidi="ar-SA"/>
              </w:rPr>
              <w:t>8 914</w:t>
            </w:r>
          </w:p>
        </w:tc>
        <w:tc>
          <w:tcPr>
            <w:tcW w:w="1134"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70" w:firstLine="0"/>
              <w:contextualSpacing w:val="0"/>
              <w:jc w:val="right"/>
              <w:rPr>
                <w:rFonts w:eastAsia="Times New Roman" w:cs="Times New Roman"/>
                <w:sz w:val="20"/>
                <w:szCs w:val="20"/>
                <w:lang w:bidi="ar-SA"/>
              </w:rPr>
            </w:pPr>
            <w:r>
              <w:rPr>
                <w:rFonts w:eastAsia="Times New Roman" w:cs="Times New Roman"/>
                <w:sz w:val="20"/>
                <w:szCs w:val="20"/>
                <w:lang w:bidi="ar-SA"/>
              </w:rPr>
              <w:t>57,8%</w:t>
            </w:r>
          </w:p>
        </w:tc>
      </w:tr>
      <w:tr>
        <w:tblPrEx>
          <w:tblW w:w="0" w:type="auto"/>
          <w:jc w:val="center"/>
          <w:tblCellMar>
            <w:left w:w="70" w:type="dxa"/>
            <w:right w:w="70" w:type="dxa"/>
          </w:tblCellMar>
          <w:tblLook w:val="04A0"/>
        </w:tblPrEx>
        <w:trPr>
          <w:cantSplit/>
          <w:trHeight w:val="227"/>
          <w:jc w:val="center"/>
        </w:trPr>
        <w:tc>
          <w:tcPr>
            <w:tcW w:w="0" w:type="auto"/>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Słupsk</w:t>
            </w:r>
          </w:p>
        </w:tc>
        <w:tc>
          <w:tcPr>
            <w:tcW w:w="3345" w:type="dxa"/>
            <w:shd w:val="clear" w:color="000000" w:fill="FFFFFF"/>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134" w:firstLine="0"/>
              <w:contextualSpacing w:val="0"/>
              <w:jc w:val="right"/>
              <w:rPr>
                <w:rFonts w:eastAsia="Times New Roman" w:cs="Times New Roman"/>
                <w:sz w:val="20"/>
                <w:szCs w:val="20"/>
                <w:lang w:bidi="ar-SA"/>
              </w:rPr>
            </w:pPr>
            <w:r>
              <w:rPr>
                <w:rFonts w:eastAsia="Times New Roman" w:cs="Times New Roman"/>
                <w:sz w:val="20"/>
                <w:szCs w:val="20"/>
                <w:lang w:bidi="ar-SA"/>
              </w:rPr>
              <w:t>2 437</w:t>
            </w:r>
          </w:p>
        </w:tc>
        <w:tc>
          <w:tcPr>
            <w:tcW w:w="3231"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134" w:firstLine="0"/>
              <w:contextualSpacing w:val="0"/>
              <w:jc w:val="right"/>
              <w:rPr>
                <w:rFonts w:eastAsia="Times New Roman" w:cs="Times New Roman"/>
                <w:sz w:val="20"/>
                <w:szCs w:val="20"/>
                <w:lang w:bidi="ar-SA"/>
              </w:rPr>
            </w:pPr>
            <w:r>
              <w:rPr>
                <w:rFonts w:eastAsia="Times New Roman" w:cs="Times New Roman"/>
                <w:sz w:val="20"/>
                <w:szCs w:val="20"/>
                <w:lang w:bidi="ar-SA"/>
              </w:rPr>
              <w:t>3 404</w:t>
            </w:r>
          </w:p>
        </w:tc>
        <w:tc>
          <w:tcPr>
            <w:tcW w:w="1134"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70" w:firstLine="0"/>
              <w:contextualSpacing w:val="0"/>
              <w:jc w:val="right"/>
              <w:rPr>
                <w:rFonts w:eastAsia="Times New Roman" w:cs="Times New Roman"/>
                <w:sz w:val="20"/>
                <w:szCs w:val="20"/>
                <w:lang w:bidi="ar-SA"/>
              </w:rPr>
            </w:pPr>
            <w:r>
              <w:rPr>
                <w:rFonts w:eastAsia="Times New Roman" w:cs="Times New Roman"/>
                <w:sz w:val="20"/>
                <w:szCs w:val="20"/>
                <w:lang w:bidi="ar-SA"/>
              </w:rPr>
              <w:t>39,7%</w:t>
            </w:r>
          </w:p>
        </w:tc>
      </w:tr>
      <w:tr>
        <w:tblPrEx>
          <w:tblW w:w="0" w:type="auto"/>
          <w:jc w:val="center"/>
          <w:tblCellMar>
            <w:left w:w="70" w:type="dxa"/>
            <w:right w:w="70" w:type="dxa"/>
          </w:tblCellMar>
          <w:tblLook w:val="04A0"/>
        </w:tblPrEx>
        <w:trPr>
          <w:cantSplit/>
          <w:trHeight w:val="227"/>
          <w:jc w:val="center"/>
        </w:trPr>
        <w:tc>
          <w:tcPr>
            <w:tcW w:w="0" w:type="auto"/>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Sopot</w:t>
            </w:r>
          </w:p>
        </w:tc>
        <w:tc>
          <w:tcPr>
            <w:tcW w:w="3345" w:type="dxa"/>
            <w:shd w:val="clear" w:color="000000" w:fill="FFFFFF"/>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134" w:firstLine="0"/>
              <w:contextualSpacing w:val="0"/>
              <w:jc w:val="right"/>
              <w:rPr>
                <w:rFonts w:eastAsia="Times New Roman" w:cs="Times New Roman"/>
                <w:sz w:val="20"/>
                <w:szCs w:val="20"/>
                <w:lang w:bidi="ar-SA"/>
              </w:rPr>
            </w:pPr>
            <w:r>
              <w:rPr>
                <w:rFonts w:eastAsia="Times New Roman" w:cs="Times New Roman"/>
                <w:sz w:val="20"/>
                <w:szCs w:val="20"/>
                <w:lang w:bidi="ar-SA"/>
              </w:rPr>
              <w:t>741</w:t>
            </w:r>
          </w:p>
        </w:tc>
        <w:tc>
          <w:tcPr>
            <w:tcW w:w="3231"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134" w:firstLine="0"/>
              <w:contextualSpacing w:val="0"/>
              <w:jc w:val="right"/>
              <w:rPr>
                <w:rFonts w:eastAsia="Times New Roman" w:cs="Times New Roman"/>
                <w:sz w:val="20"/>
                <w:szCs w:val="20"/>
                <w:lang w:bidi="ar-SA"/>
              </w:rPr>
            </w:pPr>
            <w:r>
              <w:rPr>
                <w:rFonts w:eastAsia="Times New Roman" w:cs="Times New Roman"/>
                <w:sz w:val="20"/>
                <w:szCs w:val="20"/>
                <w:lang w:bidi="ar-SA"/>
              </w:rPr>
              <w:t>889</w:t>
            </w:r>
          </w:p>
        </w:tc>
        <w:tc>
          <w:tcPr>
            <w:tcW w:w="1134"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70" w:firstLine="0"/>
              <w:contextualSpacing w:val="0"/>
              <w:jc w:val="right"/>
              <w:rPr>
                <w:rFonts w:eastAsia="Times New Roman" w:cs="Times New Roman"/>
                <w:sz w:val="20"/>
                <w:szCs w:val="20"/>
                <w:lang w:bidi="ar-SA"/>
              </w:rPr>
            </w:pPr>
            <w:r>
              <w:rPr>
                <w:rFonts w:eastAsia="Times New Roman" w:cs="Times New Roman"/>
                <w:sz w:val="20"/>
                <w:szCs w:val="20"/>
                <w:lang w:bidi="ar-SA"/>
              </w:rPr>
              <w:t>20,0%</w:t>
            </w:r>
          </w:p>
        </w:tc>
      </w:tr>
      <w:tr>
        <w:tblPrEx>
          <w:tblW w:w="0" w:type="auto"/>
          <w:jc w:val="center"/>
          <w:tblCellMar>
            <w:left w:w="70" w:type="dxa"/>
            <w:right w:w="70" w:type="dxa"/>
          </w:tblCellMar>
          <w:tblLook w:val="04A0"/>
        </w:tblPrEx>
        <w:trPr>
          <w:cantSplit/>
          <w:trHeight w:val="227"/>
          <w:jc w:val="center"/>
        </w:trPr>
        <w:tc>
          <w:tcPr>
            <w:tcW w:w="0" w:type="auto"/>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Bielsko-Biała</w:t>
            </w:r>
          </w:p>
        </w:tc>
        <w:tc>
          <w:tcPr>
            <w:tcW w:w="3345" w:type="dxa"/>
            <w:shd w:val="clear" w:color="000000" w:fill="FFFFFF"/>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134" w:firstLine="0"/>
              <w:contextualSpacing w:val="0"/>
              <w:jc w:val="right"/>
              <w:rPr>
                <w:rFonts w:eastAsia="Times New Roman" w:cs="Times New Roman"/>
                <w:sz w:val="20"/>
                <w:szCs w:val="20"/>
                <w:lang w:bidi="ar-SA"/>
              </w:rPr>
            </w:pPr>
            <w:r>
              <w:rPr>
                <w:rFonts w:eastAsia="Times New Roman" w:cs="Times New Roman"/>
                <w:sz w:val="20"/>
                <w:szCs w:val="20"/>
                <w:lang w:bidi="ar-SA"/>
              </w:rPr>
              <w:t>5 133</w:t>
            </w:r>
          </w:p>
        </w:tc>
        <w:tc>
          <w:tcPr>
            <w:tcW w:w="3231"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134" w:firstLine="0"/>
              <w:contextualSpacing w:val="0"/>
              <w:jc w:val="right"/>
              <w:rPr>
                <w:rFonts w:eastAsia="Times New Roman" w:cs="Times New Roman"/>
                <w:sz w:val="20"/>
                <w:szCs w:val="20"/>
                <w:lang w:bidi="ar-SA"/>
              </w:rPr>
            </w:pPr>
            <w:r>
              <w:rPr>
                <w:rFonts w:eastAsia="Times New Roman" w:cs="Times New Roman"/>
                <w:sz w:val="20"/>
                <w:szCs w:val="20"/>
                <w:lang w:bidi="ar-SA"/>
              </w:rPr>
              <w:t>7 088</w:t>
            </w:r>
          </w:p>
        </w:tc>
        <w:tc>
          <w:tcPr>
            <w:tcW w:w="1134"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70" w:firstLine="0"/>
              <w:contextualSpacing w:val="0"/>
              <w:jc w:val="right"/>
              <w:rPr>
                <w:rFonts w:eastAsia="Times New Roman" w:cs="Times New Roman"/>
                <w:sz w:val="20"/>
                <w:szCs w:val="20"/>
                <w:lang w:bidi="ar-SA"/>
              </w:rPr>
            </w:pPr>
            <w:r>
              <w:rPr>
                <w:rFonts w:eastAsia="Times New Roman" w:cs="Times New Roman"/>
                <w:sz w:val="20"/>
                <w:szCs w:val="20"/>
                <w:lang w:bidi="ar-SA"/>
              </w:rPr>
              <w:t>38,1%</w:t>
            </w:r>
          </w:p>
        </w:tc>
      </w:tr>
      <w:tr>
        <w:tblPrEx>
          <w:tblW w:w="0" w:type="auto"/>
          <w:jc w:val="center"/>
          <w:tblCellMar>
            <w:left w:w="70" w:type="dxa"/>
            <w:right w:w="70" w:type="dxa"/>
          </w:tblCellMar>
          <w:tblLook w:val="04A0"/>
        </w:tblPrEx>
        <w:trPr>
          <w:cantSplit/>
          <w:trHeight w:val="227"/>
          <w:jc w:val="center"/>
        </w:trPr>
        <w:tc>
          <w:tcPr>
            <w:tcW w:w="0" w:type="auto"/>
            <w:shd w:val="clear" w:color="auto" w:fill="F2F2F2"/>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Bytom</w:t>
            </w:r>
          </w:p>
        </w:tc>
        <w:tc>
          <w:tcPr>
            <w:tcW w:w="3345" w:type="dxa"/>
            <w:shd w:val="clear" w:color="auto" w:fill="F2F2F2"/>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134" w:firstLine="0"/>
              <w:contextualSpacing w:val="0"/>
              <w:jc w:val="right"/>
              <w:rPr>
                <w:rFonts w:eastAsia="Times New Roman" w:cs="Times New Roman"/>
                <w:sz w:val="20"/>
                <w:szCs w:val="20"/>
                <w:lang w:bidi="ar-SA"/>
              </w:rPr>
            </w:pPr>
            <w:r>
              <w:rPr>
                <w:rFonts w:eastAsia="Times New Roman" w:cs="Times New Roman"/>
                <w:sz w:val="20"/>
                <w:szCs w:val="20"/>
                <w:lang w:bidi="ar-SA"/>
              </w:rPr>
              <w:t>4 525</w:t>
            </w:r>
          </w:p>
        </w:tc>
        <w:tc>
          <w:tcPr>
            <w:tcW w:w="3231" w:type="dxa"/>
            <w:shd w:val="clear" w:color="auto" w:fill="F2F2F2"/>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134" w:firstLine="0"/>
              <w:contextualSpacing w:val="0"/>
              <w:jc w:val="right"/>
              <w:rPr>
                <w:rFonts w:eastAsia="Times New Roman" w:cs="Times New Roman"/>
                <w:sz w:val="20"/>
                <w:szCs w:val="20"/>
                <w:lang w:bidi="ar-SA"/>
              </w:rPr>
            </w:pPr>
            <w:r>
              <w:rPr>
                <w:rFonts w:eastAsia="Times New Roman" w:cs="Times New Roman"/>
                <w:sz w:val="20"/>
                <w:szCs w:val="20"/>
                <w:lang w:bidi="ar-SA"/>
              </w:rPr>
              <w:t>5 049</w:t>
            </w:r>
          </w:p>
        </w:tc>
        <w:tc>
          <w:tcPr>
            <w:tcW w:w="1134" w:type="dxa"/>
            <w:shd w:val="clear" w:color="auto" w:fill="F2F2F2"/>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70" w:firstLine="0"/>
              <w:contextualSpacing w:val="0"/>
              <w:jc w:val="right"/>
              <w:rPr>
                <w:rFonts w:eastAsia="Times New Roman" w:cs="Times New Roman"/>
                <w:sz w:val="20"/>
                <w:szCs w:val="20"/>
                <w:lang w:bidi="ar-SA"/>
              </w:rPr>
            </w:pPr>
            <w:r>
              <w:rPr>
                <w:rFonts w:eastAsia="Times New Roman" w:cs="Times New Roman"/>
                <w:sz w:val="20"/>
                <w:szCs w:val="20"/>
                <w:lang w:bidi="ar-SA"/>
              </w:rPr>
              <w:t>11,6%</w:t>
            </w:r>
          </w:p>
        </w:tc>
      </w:tr>
      <w:tr>
        <w:tblPrEx>
          <w:tblW w:w="0" w:type="auto"/>
          <w:jc w:val="center"/>
          <w:tblCellMar>
            <w:left w:w="70" w:type="dxa"/>
            <w:right w:w="70" w:type="dxa"/>
          </w:tblCellMar>
          <w:tblLook w:val="04A0"/>
        </w:tblPrEx>
        <w:trPr>
          <w:cantSplit/>
          <w:trHeight w:val="227"/>
          <w:jc w:val="center"/>
        </w:trPr>
        <w:tc>
          <w:tcPr>
            <w:tcW w:w="0" w:type="auto"/>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Gliwice</w:t>
            </w:r>
          </w:p>
        </w:tc>
        <w:tc>
          <w:tcPr>
            <w:tcW w:w="3345" w:type="dxa"/>
            <w:shd w:val="clear" w:color="000000" w:fill="FFFFFF"/>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134" w:firstLine="0"/>
              <w:contextualSpacing w:val="0"/>
              <w:jc w:val="right"/>
              <w:rPr>
                <w:rFonts w:eastAsia="Times New Roman" w:cs="Times New Roman"/>
                <w:sz w:val="20"/>
                <w:szCs w:val="20"/>
                <w:lang w:bidi="ar-SA"/>
              </w:rPr>
            </w:pPr>
            <w:r>
              <w:rPr>
                <w:rFonts w:eastAsia="Times New Roman" w:cs="Times New Roman"/>
                <w:sz w:val="20"/>
                <w:szCs w:val="20"/>
                <w:lang w:bidi="ar-SA"/>
              </w:rPr>
              <w:t>4 649</w:t>
            </w:r>
          </w:p>
        </w:tc>
        <w:tc>
          <w:tcPr>
            <w:tcW w:w="3231"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134" w:firstLine="0"/>
              <w:contextualSpacing w:val="0"/>
              <w:jc w:val="right"/>
              <w:rPr>
                <w:rFonts w:eastAsia="Times New Roman" w:cs="Times New Roman"/>
                <w:sz w:val="20"/>
                <w:szCs w:val="20"/>
                <w:lang w:bidi="ar-SA"/>
              </w:rPr>
            </w:pPr>
            <w:r>
              <w:rPr>
                <w:rFonts w:eastAsia="Times New Roman" w:cs="Times New Roman"/>
                <w:sz w:val="20"/>
                <w:szCs w:val="20"/>
                <w:lang w:bidi="ar-SA"/>
              </w:rPr>
              <w:t>6 595</w:t>
            </w:r>
          </w:p>
        </w:tc>
        <w:tc>
          <w:tcPr>
            <w:tcW w:w="1134"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70" w:firstLine="0"/>
              <w:contextualSpacing w:val="0"/>
              <w:jc w:val="right"/>
              <w:rPr>
                <w:rFonts w:eastAsia="Times New Roman" w:cs="Times New Roman"/>
                <w:sz w:val="20"/>
                <w:szCs w:val="20"/>
                <w:lang w:bidi="ar-SA"/>
              </w:rPr>
            </w:pPr>
            <w:r>
              <w:rPr>
                <w:rFonts w:eastAsia="Times New Roman" w:cs="Times New Roman"/>
                <w:sz w:val="20"/>
                <w:szCs w:val="20"/>
                <w:lang w:bidi="ar-SA"/>
              </w:rPr>
              <w:t>41,9%</w:t>
            </w:r>
          </w:p>
        </w:tc>
      </w:tr>
      <w:tr>
        <w:tblPrEx>
          <w:tblW w:w="0" w:type="auto"/>
          <w:jc w:val="center"/>
          <w:tblCellMar>
            <w:left w:w="70" w:type="dxa"/>
            <w:right w:w="70" w:type="dxa"/>
          </w:tblCellMar>
          <w:tblLook w:val="04A0"/>
        </w:tblPrEx>
        <w:trPr>
          <w:cantSplit/>
          <w:trHeight w:val="227"/>
          <w:jc w:val="center"/>
        </w:trPr>
        <w:tc>
          <w:tcPr>
            <w:tcW w:w="0" w:type="auto"/>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Katowice</w:t>
            </w:r>
          </w:p>
        </w:tc>
        <w:tc>
          <w:tcPr>
            <w:tcW w:w="3345" w:type="dxa"/>
            <w:shd w:val="clear" w:color="000000" w:fill="FFFFFF"/>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134" w:firstLine="0"/>
              <w:contextualSpacing w:val="0"/>
              <w:jc w:val="right"/>
              <w:rPr>
                <w:rFonts w:eastAsia="Times New Roman" w:cs="Times New Roman"/>
                <w:sz w:val="20"/>
                <w:szCs w:val="20"/>
                <w:lang w:bidi="ar-SA"/>
              </w:rPr>
            </w:pPr>
            <w:r>
              <w:rPr>
                <w:rFonts w:eastAsia="Times New Roman" w:cs="Times New Roman"/>
                <w:sz w:val="20"/>
                <w:szCs w:val="20"/>
                <w:lang w:bidi="ar-SA"/>
              </w:rPr>
              <w:t>7 579</w:t>
            </w:r>
          </w:p>
        </w:tc>
        <w:tc>
          <w:tcPr>
            <w:tcW w:w="3231"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134" w:firstLine="0"/>
              <w:contextualSpacing w:val="0"/>
              <w:jc w:val="right"/>
              <w:rPr>
                <w:rFonts w:eastAsia="Times New Roman" w:cs="Times New Roman"/>
                <w:sz w:val="20"/>
                <w:szCs w:val="20"/>
                <w:lang w:bidi="ar-SA"/>
              </w:rPr>
            </w:pPr>
            <w:r>
              <w:rPr>
                <w:rFonts w:eastAsia="Times New Roman" w:cs="Times New Roman"/>
                <w:sz w:val="20"/>
                <w:szCs w:val="20"/>
                <w:lang w:bidi="ar-SA"/>
              </w:rPr>
              <w:t>10 457</w:t>
            </w:r>
          </w:p>
        </w:tc>
        <w:tc>
          <w:tcPr>
            <w:tcW w:w="1134"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70" w:firstLine="0"/>
              <w:contextualSpacing w:val="0"/>
              <w:jc w:val="right"/>
              <w:rPr>
                <w:rFonts w:eastAsia="Times New Roman" w:cs="Times New Roman"/>
                <w:sz w:val="20"/>
                <w:szCs w:val="20"/>
                <w:lang w:bidi="ar-SA"/>
              </w:rPr>
            </w:pPr>
            <w:r>
              <w:rPr>
                <w:rFonts w:eastAsia="Times New Roman" w:cs="Times New Roman"/>
                <w:sz w:val="20"/>
                <w:szCs w:val="20"/>
                <w:lang w:bidi="ar-SA"/>
              </w:rPr>
              <w:t>38,0%</w:t>
            </w:r>
          </w:p>
        </w:tc>
      </w:tr>
      <w:tr>
        <w:tblPrEx>
          <w:tblW w:w="0" w:type="auto"/>
          <w:jc w:val="center"/>
          <w:tblCellMar>
            <w:left w:w="70" w:type="dxa"/>
            <w:right w:w="70" w:type="dxa"/>
          </w:tblCellMar>
          <w:tblLook w:val="04A0"/>
        </w:tblPrEx>
        <w:trPr>
          <w:cantSplit/>
          <w:trHeight w:val="227"/>
          <w:jc w:val="center"/>
        </w:trPr>
        <w:tc>
          <w:tcPr>
            <w:tcW w:w="0" w:type="auto"/>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Piekary Śląskie</w:t>
            </w:r>
          </w:p>
        </w:tc>
        <w:tc>
          <w:tcPr>
            <w:tcW w:w="3345" w:type="dxa"/>
            <w:shd w:val="clear" w:color="000000" w:fill="FFFFFF"/>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134" w:firstLine="0"/>
              <w:contextualSpacing w:val="0"/>
              <w:jc w:val="right"/>
              <w:rPr>
                <w:rFonts w:eastAsia="Times New Roman" w:cs="Times New Roman"/>
                <w:sz w:val="20"/>
                <w:szCs w:val="20"/>
                <w:lang w:bidi="ar-SA"/>
              </w:rPr>
            </w:pPr>
            <w:r>
              <w:rPr>
                <w:rFonts w:eastAsia="Times New Roman" w:cs="Times New Roman"/>
                <w:sz w:val="20"/>
                <w:szCs w:val="20"/>
                <w:lang w:bidi="ar-SA"/>
              </w:rPr>
              <w:t>1 702</w:t>
            </w:r>
          </w:p>
        </w:tc>
        <w:tc>
          <w:tcPr>
            <w:tcW w:w="3231"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134" w:firstLine="0"/>
              <w:contextualSpacing w:val="0"/>
              <w:jc w:val="right"/>
              <w:rPr>
                <w:rFonts w:eastAsia="Times New Roman" w:cs="Times New Roman"/>
                <w:sz w:val="20"/>
                <w:szCs w:val="20"/>
                <w:lang w:bidi="ar-SA"/>
              </w:rPr>
            </w:pPr>
            <w:r>
              <w:rPr>
                <w:rFonts w:eastAsia="Times New Roman" w:cs="Times New Roman"/>
                <w:sz w:val="20"/>
                <w:szCs w:val="20"/>
                <w:lang w:bidi="ar-SA"/>
              </w:rPr>
              <w:t>1 814</w:t>
            </w:r>
          </w:p>
        </w:tc>
        <w:tc>
          <w:tcPr>
            <w:tcW w:w="1134"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70" w:firstLine="0"/>
              <w:contextualSpacing w:val="0"/>
              <w:jc w:val="right"/>
              <w:rPr>
                <w:rFonts w:eastAsia="Times New Roman" w:cs="Times New Roman"/>
                <w:sz w:val="20"/>
                <w:szCs w:val="20"/>
                <w:lang w:bidi="ar-SA"/>
              </w:rPr>
            </w:pPr>
            <w:r>
              <w:rPr>
                <w:rFonts w:eastAsia="Times New Roman" w:cs="Times New Roman"/>
                <w:sz w:val="20"/>
                <w:szCs w:val="20"/>
                <w:lang w:bidi="ar-SA"/>
              </w:rPr>
              <w:t>6,6%</w:t>
            </w:r>
          </w:p>
        </w:tc>
      </w:tr>
      <w:tr>
        <w:tblPrEx>
          <w:tblW w:w="0" w:type="auto"/>
          <w:jc w:val="center"/>
          <w:tblCellMar>
            <w:left w:w="70" w:type="dxa"/>
            <w:right w:w="70" w:type="dxa"/>
          </w:tblCellMar>
          <w:tblLook w:val="04A0"/>
        </w:tblPrEx>
        <w:trPr>
          <w:cantSplit/>
          <w:trHeight w:val="227"/>
          <w:jc w:val="center"/>
        </w:trPr>
        <w:tc>
          <w:tcPr>
            <w:tcW w:w="0" w:type="auto"/>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Ruda Śląska</w:t>
            </w:r>
          </w:p>
        </w:tc>
        <w:tc>
          <w:tcPr>
            <w:tcW w:w="3345" w:type="dxa"/>
            <w:shd w:val="clear" w:color="000000" w:fill="FFFFFF"/>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134" w:firstLine="0"/>
              <w:contextualSpacing w:val="0"/>
              <w:jc w:val="right"/>
              <w:rPr>
                <w:rFonts w:eastAsia="Times New Roman" w:cs="Times New Roman"/>
                <w:sz w:val="20"/>
                <w:szCs w:val="20"/>
                <w:lang w:bidi="ar-SA"/>
              </w:rPr>
            </w:pPr>
            <w:r>
              <w:rPr>
                <w:rFonts w:eastAsia="Times New Roman" w:cs="Times New Roman"/>
                <w:sz w:val="20"/>
                <w:szCs w:val="20"/>
                <w:lang w:bidi="ar-SA"/>
              </w:rPr>
              <w:t>4 041</w:t>
            </w:r>
          </w:p>
        </w:tc>
        <w:tc>
          <w:tcPr>
            <w:tcW w:w="3231"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134" w:firstLine="0"/>
              <w:contextualSpacing w:val="0"/>
              <w:jc w:val="right"/>
              <w:rPr>
                <w:rFonts w:eastAsia="Times New Roman" w:cs="Times New Roman"/>
                <w:sz w:val="20"/>
                <w:szCs w:val="20"/>
                <w:lang w:bidi="ar-SA"/>
              </w:rPr>
            </w:pPr>
            <w:r>
              <w:rPr>
                <w:rFonts w:eastAsia="Times New Roman" w:cs="Times New Roman"/>
                <w:sz w:val="20"/>
                <w:szCs w:val="20"/>
                <w:lang w:bidi="ar-SA"/>
              </w:rPr>
              <w:t>4 865</w:t>
            </w:r>
          </w:p>
        </w:tc>
        <w:tc>
          <w:tcPr>
            <w:tcW w:w="1134"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70" w:firstLine="0"/>
              <w:contextualSpacing w:val="0"/>
              <w:jc w:val="right"/>
              <w:rPr>
                <w:rFonts w:eastAsia="Times New Roman" w:cs="Times New Roman"/>
                <w:sz w:val="20"/>
                <w:szCs w:val="20"/>
                <w:lang w:bidi="ar-SA"/>
              </w:rPr>
            </w:pPr>
            <w:r>
              <w:rPr>
                <w:rFonts w:eastAsia="Times New Roman" w:cs="Times New Roman"/>
                <w:sz w:val="20"/>
                <w:szCs w:val="20"/>
                <w:lang w:bidi="ar-SA"/>
              </w:rPr>
              <w:t>20,4%</w:t>
            </w:r>
          </w:p>
        </w:tc>
      </w:tr>
      <w:tr>
        <w:tblPrEx>
          <w:tblW w:w="0" w:type="auto"/>
          <w:jc w:val="center"/>
          <w:tblCellMar>
            <w:left w:w="70" w:type="dxa"/>
            <w:right w:w="70" w:type="dxa"/>
          </w:tblCellMar>
          <w:tblLook w:val="04A0"/>
        </w:tblPrEx>
        <w:trPr>
          <w:cantSplit/>
          <w:trHeight w:val="227"/>
          <w:jc w:val="center"/>
        </w:trPr>
        <w:tc>
          <w:tcPr>
            <w:tcW w:w="0" w:type="auto"/>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Rybnik</w:t>
            </w:r>
          </w:p>
        </w:tc>
        <w:tc>
          <w:tcPr>
            <w:tcW w:w="3345" w:type="dxa"/>
            <w:shd w:val="clear" w:color="000000" w:fill="FFFFFF"/>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134" w:firstLine="0"/>
              <w:contextualSpacing w:val="0"/>
              <w:jc w:val="right"/>
              <w:rPr>
                <w:rFonts w:eastAsia="Times New Roman" w:cs="Times New Roman"/>
                <w:sz w:val="20"/>
                <w:szCs w:val="20"/>
                <w:lang w:bidi="ar-SA"/>
              </w:rPr>
            </w:pPr>
            <w:r>
              <w:rPr>
                <w:rFonts w:eastAsia="Times New Roman" w:cs="Times New Roman"/>
                <w:sz w:val="20"/>
                <w:szCs w:val="20"/>
                <w:lang w:bidi="ar-SA"/>
              </w:rPr>
              <w:t>4 870</w:t>
            </w:r>
          </w:p>
        </w:tc>
        <w:tc>
          <w:tcPr>
            <w:tcW w:w="3231"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134" w:firstLine="0"/>
              <w:contextualSpacing w:val="0"/>
              <w:jc w:val="right"/>
              <w:rPr>
                <w:rFonts w:eastAsia="Times New Roman" w:cs="Times New Roman"/>
                <w:sz w:val="20"/>
                <w:szCs w:val="20"/>
                <w:lang w:bidi="ar-SA"/>
              </w:rPr>
            </w:pPr>
            <w:r>
              <w:rPr>
                <w:rFonts w:eastAsia="Times New Roman" w:cs="Times New Roman"/>
                <w:sz w:val="20"/>
                <w:szCs w:val="20"/>
                <w:lang w:bidi="ar-SA"/>
              </w:rPr>
              <w:t>5 327</w:t>
            </w:r>
          </w:p>
        </w:tc>
        <w:tc>
          <w:tcPr>
            <w:tcW w:w="1134"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70" w:firstLine="0"/>
              <w:contextualSpacing w:val="0"/>
              <w:jc w:val="right"/>
              <w:rPr>
                <w:rFonts w:eastAsia="Times New Roman" w:cs="Times New Roman"/>
                <w:sz w:val="20"/>
                <w:szCs w:val="20"/>
                <w:lang w:bidi="ar-SA"/>
              </w:rPr>
            </w:pPr>
            <w:r>
              <w:rPr>
                <w:rFonts w:eastAsia="Times New Roman" w:cs="Times New Roman"/>
                <w:sz w:val="20"/>
                <w:szCs w:val="20"/>
                <w:lang w:bidi="ar-SA"/>
              </w:rPr>
              <w:t>9,4%</w:t>
            </w:r>
          </w:p>
        </w:tc>
      </w:tr>
      <w:tr>
        <w:tblPrEx>
          <w:tblW w:w="0" w:type="auto"/>
          <w:jc w:val="center"/>
          <w:tblCellMar>
            <w:left w:w="70" w:type="dxa"/>
            <w:right w:w="70" w:type="dxa"/>
          </w:tblCellMar>
          <w:tblLook w:val="04A0"/>
        </w:tblPrEx>
        <w:trPr>
          <w:cantSplit/>
          <w:trHeight w:val="227"/>
          <w:jc w:val="center"/>
        </w:trPr>
        <w:tc>
          <w:tcPr>
            <w:tcW w:w="0" w:type="auto"/>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Siemianowice Śląskie</w:t>
            </w:r>
          </w:p>
        </w:tc>
        <w:tc>
          <w:tcPr>
            <w:tcW w:w="3345" w:type="dxa"/>
            <w:shd w:val="clear" w:color="000000" w:fill="FFFFFF"/>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134" w:firstLine="0"/>
              <w:contextualSpacing w:val="0"/>
              <w:jc w:val="right"/>
              <w:rPr>
                <w:rFonts w:eastAsia="Times New Roman" w:cs="Times New Roman"/>
                <w:sz w:val="20"/>
                <w:szCs w:val="20"/>
                <w:lang w:bidi="ar-SA"/>
              </w:rPr>
            </w:pPr>
            <w:r>
              <w:rPr>
                <w:rFonts w:eastAsia="Times New Roman" w:cs="Times New Roman"/>
                <w:sz w:val="20"/>
                <w:szCs w:val="20"/>
                <w:lang w:bidi="ar-SA"/>
              </w:rPr>
              <w:t>1 568</w:t>
            </w:r>
          </w:p>
        </w:tc>
        <w:tc>
          <w:tcPr>
            <w:tcW w:w="3231"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134" w:firstLine="0"/>
              <w:contextualSpacing w:val="0"/>
              <w:jc w:val="right"/>
              <w:rPr>
                <w:rFonts w:eastAsia="Times New Roman" w:cs="Times New Roman"/>
                <w:sz w:val="20"/>
                <w:szCs w:val="20"/>
                <w:lang w:bidi="ar-SA"/>
              </w:rPr>
            </w:pPr>
            <w:r>
              <w:rPr>
                <w:rFonts w:eastAsia="Times New Roman" w:cs="Times New Roman"/>
                <w:sz w:val="20"/>
                <w:szCs w:val="20"/>
                <w:lang w:bidi="ar-SA"/>
              </w:rPr>
              <w:t>2 290</w:t>
            </w:r>
          </w:p>
        </w:tc>
        <w:tc>
          <w:tcPr>
            <w:tcW w:w="1134"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70" w:firstLine="0"/>
              <w:contextualSpacing w:val="0"/>
              <w:jc w:val="right"/>
              <w:rPr>
                <w:rFonts w:eastAsia="Times New Roman" w:cs="Times New Roman"/>
                <w:sz w:val="20"/>
                <w:szCs w:val="20"/>
                <w:lang w:bidi="ar-SA"/>
              </w:rPr>
            </w:pPr>
            <w:r>
              <w:rPr>
                <w:rFonts w:eastAsia="Times New Roman" w:cs="Times New Roman"/>
                <w:sz w:val="20"/>
                <w:szCs w:val="20"/>
                <w:lang w:bidi="ar-SA"/>
              </w:rPr>
              <w:t>46,0%</w:t>
            </w:r>
          </w:p>
        </w:tc>
      </w:tr>
      <w:tr>
        <w:tblPrEx>
          <w:tblW w:w="0" w:type="auto"/>
          <w:jc w:val="center"/>
          <w:tblCellMar>
            <w:left w:w="70" w:type="dxa"/>
            <w:right w:w="70" w:type="dxa"/>
          </w:tblCellMar>
          <w:tblLook w:val="04A0"/>
        </w:tblPrEx>
        <w:trPr>
          <w:cantSplit/>
          <w:trHeight w:val="227"/>
          <w:jc w:val="center"/>
        </w:trPr>
        <w:tc>
          <w:tcPr>
            <w:tcW w:w="0" w:type="auto"/>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Świętochłowice</w:t>
            </w:r>
          </w:p>
        </w:tc>
        <w:tc>
          <w:tcPr>
            <w:tcW w:w="3345" w:type="dxa"/>
            <w:shd w:val="clear" w:color="000000" w:fill="FFFFFF"/>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134" w:firstLine="0"/>
              <w:contextualSpacing w:val="0"/>
              <w:jc w:val="right"/>
              <w:rPr>
                <w:rFonts w:eastAsia="Times New Roman" w:cs="Times New Roman"/>
                <w:sz w:val="20"/>
                <w:szCs w:val="20"/>
                <w:lang w:bidi="ar-SA"/>
              </w:rPr>
            </w:pPr>
            <w:r>
              <w:rPr>
                <w:rFonts w:eastAsia="Times New Roman" w:cs="Times New Roman"/>
                <w:sz w:val="20"/>
                <w:szCs w:val="20"/>
                <w:lang w:bidi="ar-SA"/>
              </w:rPr>
              <w:t>1 380</w:t>
            </w:r>
          </w:p>
        </w:tc>
        <w:tc>
          <w:tcPr>
            <w:tcW w:w="3231"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134" w:firstLine="0"/>
              <w:contextualSpacing w:val="0"/>
              <w:jc w:val="right"/>
              <w:rPr>
                <w:rFonts w:eastAsia="Times New Roman" w:cs="Times New Roman"/>
                <w:sz w:val="20"/>
                <w:szCs w:val="20"/>
                <w:lang w:bidi="ar-SA"/>
              </w:rPr>
            </w:pPr>
            <w:r>
              <w:rPr>
                <w:rFonts w:eastAsia="Times New Roman" w:cs="Times New Roman"/>
                <w:sz w:val="20"/>
                <w:szCs w:val="20"/>
                <w:lang w:bidi="ar-SA"/>
              </w:rPr>
              <w:t>1 604</w:t>
            </w:r>
          </w:p>
        </w:tc>
        <w:tc>
          <w:tcPr>
            <w:tcW w:w="1134"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70" w:firstLine="0"/>
              <w:contextualSpacing w:val="0"/>
              <w:jc w:val="right"/>
              <w:rPr>
                <w:rFonts w:eastAsia="Times New Roman" w:cs="Times New Roman"/>
                <w:sz w:val="20"/>
                <w:szCs w:val="20"/>
                <w:lang w:bidi="ar-SA"/>
              </w:rPr>
            </w:pPr>
            <w:r>
              <w:rPr>
                <w:rFonts w:eastAsia="Times New Roman" w:cs="Times New Roman"/>
                <w:sz w:val="20"/>
                <w:szCs w:val="20"/>
                <w:lang w:bidi="ar-SA"/>
              </w:rPr>
              <w:t>16,2%</w:t>
            </w:r>
          </w:p>
        </w:tc>
      </w:tr>
      <w:tr>
        <w:tblPrEx>
          <w:tblW w:w="0" w:type="auto"/>
          <w:jc w:val="center"/>
          <w:tblCellMar>
            <w:left w:w="70" w:type="dxa"/>
            <w:right w:w="70" w:type="dxa"/>
          </w:tblCellMar>
          <w:tblLook w:val="04A0"/>
        </w:tblPrEx>
        <w:trPr>
          <w:cantSplit/>
          <w:trHeight w:val="227"/>
          <w:jc w:val="center"/>
        </w:trPr>
        <w:tc>
          <w:tcPr>
            <w:tcW w:w="0" w:type="auto"/>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Tychy</w:t>
            </w:r>
          </w:p>
        </w:tc>
        <w:tc>
          <w:tcPr>
            <w:tcW w:w="3345" w:type="dxa"/>
            <w:shd w:val="clear" w:color="000000" w:fill="FFFFFF"/>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134" w:firstLine="0"/>
              <w:contextualSpacing w:val="0"/>
              <w:jc w:val="right"/>
              <w:rPr>
                <w:rFonts w:eastAsia="Times New Roman" w:cs="Times New Roman"/>
                <w:sz w:val="20"/>
                <w:szCs w:val="20"/>
                <w:lang w:bidi="ar-SA"/>
              </w:rPr>
            </w:pPr>
            <w:r>
              <w:rPr>
                <w:rFonts w:eastAsia="Times New Roman" w:cs="Times New Roman"/>
                <w:sz w:val="20"/>
                <w:szCs w:val="20"/>
                <w:lang w:bidi="ar-SA"/>
              </w:rPr>
              <w:t>3 141</w:t>
            </w:r>
          </w:p>
        </w:tc>
        <w:tc>
          <w:tcPr>
            <w:tcW w:w="3231"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134" w:firstLine="0"/>
              <w:contextualSpacing w:val="0"/>
              <w:jc w:val="right"/>
              <w:rPr>
                <w:rFonts w:eastAsia="Times New Roman" w:cs="Times New Roman"/>
                <w:sz w:val="20"/>
                <w:szCs w:val="20"/>
                <w:lang w:bidi="ar-SA"/>
              </w:rPr>
            </w:pPr>
            <w:r>
              <w:rPr>
                <w:rFonts w:eastAsia="Times New Roman" w:cs="Times New Roman"/>
                <w:sz w:val="20"/>
                <w:szCs w:val="20"/>
                <w:lang w:bidi="ar-SA"/>
              </w:rPr>
              <w:t>5 169</w:t>
            </w:r>
          </w:p>
        </w:tc>
        <w:tc>
          <w:tcPr>
            <w:tcW w:w="1134"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70" w:firstLine="0"/>
              <w:contextualSpacing w:val="0"/>
              <w:jc w:val="right"/>
              <w:rPr>
                <w:rFonts w:eastAsia="Times New Roman" w:cs="Times New Roman"/>
                <w:sz w:val="20"/>
                <w:szCs w:val="20"/>
                <w:lang w:bidi="ar-SA"/>
              </w:rPr>
            </w:pPr>
            <w:r>
              <w:rPr>
                <w:rFonts w:eastAsia="Times New Roman" w:cs="Times New Roman"/>
                <w:sz w:val="20"/>
                <w:szCs w:val="20"/>
                <w:lang w:bidi="ar-SA"/>
              </w:rPr>
              <w:t>64,6%</w:t>
            </w:r>
          </w:p>
        </w:tc>
      </w:tr>
      <w:tr>
        <w:tblPrEx>
          <w:tblW w:w="0" w:type="auto"/>
          <w:jc w:val="center"/>
          <w:tblCellMar>
            <w:left w:w="70" w:type="dxa"/>
            <w:right w:w="70" w:type="dxa"/>
          </w:tblCellMar>
          <w:tblLook w:val="04A0"/>
        </w:tblPrEx>
        <w:trPr>
          <w:cantSplit/>
          <w:trHeight w:val="227"/>
          <w:jc w:val="center"/>
        </w:trPr>
        <w:tc>
          <w:tcPr>
            <w:tcW w:w="0" w:type="auto"/>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Żory</w:t>
            </w:r>
          </w:p>
        </w:tc>
        <w:tc>
          <w:tcPr>
            <w:tcW w:w="3345" w:type="dxa"/>
            <w:shd w:val="clear" w:color="000000" w:fill="FFFFFF"/>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134" w:firstLine="0"/>
              <w:contextualSpacing w:val="0"/>
              <w:jc w:val="right"/>
              <w:rPr>
                <w:rFonts w:eastAsia="Times New Roman" w:cs="Times New Roman"/>
                <w:sz w:val="20"/>
                <w:szCs w:val="20"/>
                <w:lang w:bidi="ar-SA"/>
              </w:rPr>
            </w:pPr>
            <w:r>
              <w:rPr>
                <w:rFonts w:eastAsia="Times New Roman" w:cs="Times New Roman"/>
                <w:sz w:val="20"/>
                <w:szCs w:val="20"/>
                <w:lang w:bidi="ar-SA"/>
              </w:rPr>
              <w:t>2 460</w:t>
            </w:r>
          </w:p>
        </w:tc>
        <w:tc>
          <w:tcPr>
            <w:tcW w:w="3231"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134" w:firstLine="0"/>
              <w:contextualSpacing w:val="0"/>
              <w:jc w:val="right"/>
              <w:rPr>
                <w:rFonts w:eastAsia="Times New Roman" w:cs="Times New Roman"/>
                <w:sz w:val="20"/>
                <w:szCs w:val="20"/>
                <w:lang w:bidi="ar-SA"/>
              </w:rPr>
            </w:pPr>
            <w:r>
              <w:rPr>
                <w:rFonts w:eastAsia="Times New Roman" w:cs="Times New Roman"/>
                <w:sz w:val="20"/>
                <w:szCs w:val="20"/>
                <w:lang w:bidi="ar-SA"/>
              </w:rPr>
              <w:t>2 695</w:t>
            </w:r>
          </w:p>
        </w:tc>
        <w:tc>
          <w:tcPr>
            <w:tcW w:w="1134"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70" w:firstLine="0"/>
              <w:contextualSpacing w:val="0"/>
              <w:jc w:val="right"/>
              <w:rPr>
                <w:rFonts w:eastAsia="Times New Roman" w:cs="Times New Roman"/>
                <w:sz w:val="20"/>
                <w:szCs w:val="20"/>
                <w:lang w:bidi="ar-SA"/>
              </w:rPr>
            </w:pPr>
            <w:r>
              <w:rPr>
                <w:rFonts w:eastAsia="Times New Roman" w:cs="Times New Roman"/>
                <w:sz w:val="20"/>
                <w:szCs w:val="20"/>
                <w:lang w:bidi="ar-SA"/>
              </w:rPr>
              <w:t>9,6%</w:t>
            </w:r>
          </w:p>
        </w:tc>
      </w:tr>
      <w:tr>
        <w:tblPrEx>
          <w:tblW w:w="0" w:type="auto"/>
          <w:jc w:val="center"/>
          <w:tblCellMar>
            <w:left w:w="70" w:type="dxa"/>
            <w:right w:w="70" w:type="dxa"/>
          </w:tblCellMar>
          <w:tblLook w:val="04A0"/>
        </w:tblPrEx>
        <w:trPr>
          <w:cantSplit/>
          <w:trHeight w:val="227"/>
          <w:jc w:val="center"/>
        </w:trPr>
        <w:tc>
          <w:tcPr>
            <w:tcW w:w="0" w:type="auto"/>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Elbląg</w:t>
            </w:r>
          </w:p>
        </w:tc>
        <w:tc>
          <w:tcPr>
            <w:tcW w:w="3345" w:type="dxa"/>
            <w:shd w:val="clear" w:color="000000" w:fill="FFFFFF"/>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134" w:firstLine="0"/>
              <w:contextualSpacing w:val="0"/>
              <w:jc w:val="right"/>
              <w:rPr>
                <w:rFonts w:eastAsia="Times New Roman" w:cs="Times New Roman"/>
                <w:sz w:val="20"/>
                <w:szCs w:val="20"/>
                <w:lang w:bidi="ar-SA"/>
              </w:rPr>
            </w:pPr>
            <w:r>
              <w:rPr>
                <w:rFonts w:eastAsia="Times New Roman" w:cs="Times New Roman"/>
                <w:sz w:val="20"/>
                <w:szCs w:val="20"/>
                <w:lang w:bidi="ar-SA"/>
              </w:rPr>
              <w:t>2 694</w:t>
            </w:r>
          </w:p>
        </w:tc>
        <w:tc>
          <w:tcPr>
            <w:tcW w:w="3231"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134" w:firstLine="0"/>
              <w:contextualSpacing w:val="0"/>
              <w:jc w:val="right"/>
              <w:rPr>
                <w:rFonts w:eastAsia="Times New Roman" w:cs="Times New Roman"/>
                <w:sz w:val="20"/>
                <w:szCs w:val="20"/>
                <w:lang w:bidi="ar-SA"/>
              </w:rPr>
            </w:pPr>
            <w:r>
              <w:rPr>
                <w:rFonts w:eastAsia="Times New Roman" w:cs="Times New Roman"/>
                <w:sz w:val="20"/>
                <w:szCs w:val="20"/>
                <w:lang w:bidi="ar-SA"/>
              </w:rPr>
              <w:t>4 354</w:t>
            </w:r>
          </w:p>
        </w:tc>
        <w:tc>
          <w:tcPr>
            <w:tcW w:w="1134"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70" w:firstLine="0"/>
              <w:contextualSpacing w:val="0"/>
              <w:jc w:val="right"/>
              <w:rPr>
                <w:rFonts w:eastAsia="Times New Roman" w:cs="Times New Roman"/>
                <w:sz w:val="20"/>
                <w:szCs w:val="20"/>
                <w:lang w:bidi="ar-SA"/>
              </w:rPr>
            </w:pPr>
            <w:r>
              <w:rPr>
                <w:rFonts w:eastAsia="Times New Roman" w:cs="Times New Roman"/>
                <w:sz w:val="20"/>
                <w:szCs w:val="20"/>
                <w:lang w:bidi="ar-SA"/>
              </w:rPr>
              <w:t>61,6%</w:t>
            </w:r>
          </w:p>
        </w:tc>
      </w:tr>
      <w:tr>
        <w:tblPrEx>
          <w:tblW w:w="0" w:type="auto"/>
          <w:jc w:val="center"/>
          <w:tblCellMar>
            <w:left w:w="70" w:type="dxa"/>
            <w:right w:w="70" w:type="dxa"/>
          </w:tblCellMar>
          <w:tblLook w:val="04A0"/>
        </w:tblPrEx>
        <w:trPr>
          <w:cantSplit/>
          <w:trHeight w:val="227"/>
          <w:jc w:val="center"/>
        </w:trPr>
        <w:tc>
          <w:tcPr>
            <w:tcW w:w="0" w:type="auto"/>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Kalisz</w:t>
            </w:r>
          </w:p>
        </w:tc>
        <w:tc>
          <w:tcPr>
            <w:tcW w:w="3345" w:type="dxa"/>
            <w:shd w:val="clear" w:color="000000" w:fill="FFFFFF"/>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134" w:firstLine="0"/>
              <w:contextualSpacing w:val="0"/>
              <w:jc w:val="right"/>
              <w:rPr>
                <w:rFonts w:eastAsia="Times New Roman" w:cs="Times New Roman"/>
                <w:sz w:val="20"/>
                <w:szCs w:val="20"/>
                <w:lang w:bidi="ar-SA"/>
              </w:rPr>
            </w:pPr>
            <w:r>
              <w:rPr>
                <w:rFonts w:eastAsia="Times New Roman" w:cs="Times New Roman"/>
                <w:sz w:val="20"/>
                <w:szCs w:val="20"/>
                <w:lang w:bidi="ar-SA"/>
              </w:rPr>
              <w:t>1 198</w:t>
            </w:r>
          </w:p>
        </w:tc>
        <w:tc>
          <w:tcPr>
            <w:tcW w:w="3231"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134" w:firstLine="0"/>
              <w:contextualSpacing w:val="0"/>
              <w:jc w:val="right"/>
              <w:rPr>
                <w:rFonts w:eastAsia="Times New Roman" w:cs="Times New Roman"/>
                <w:sz w:val="20"/>
                <w:szCs w:val="20"/>
                <w:lang w:bidi="ar-SA"/>
              </w:rPr>
            </w:pPr>
            <w:r>
              <w:rPr>
                <w:rFonts w:eastAsia="Times New Roman" w:cs="Times New Roman"/>
                <w:sz w:val="20"/>
                <w:szCs w:val="20"/>
                <w:lang w:bidi="ar-SA"/>
              </w:rPr>
              <w:t>3 866</w:t>
            </w:r>
          </w:p>
        </w:tc>
        <w:tc>
          <w:tcPr>
            <w:tcW w:w="1134"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70" w:firstLine="0"/>
              <w:contextualSpacing w:val="0"/>
              <w:jc w:val="right"/>
              <w:rPr>
                <w:rFonts w:eastAsia="Times New Roman" w:cs="Times New Roman"/>
                <w:sz w:val="20"/>
                <w:szCs w:val="20"/>
                <w:lang w:bidi="ar-SA"/>
              </w:rPr>
            </w:pPr>
            <w:r>
              <w:rPr>
                <w:rFonts w:eastAsia="Times New Roman" w:cs="Times New Roman"/>
                <w:sz w:val="20"/>
                <w:szCs w:val="20"/>
                <w:lang w:bidi="ar-SA"/>
              </w:rPr>
              <w:t>222,7%</w:t>
            </w:r>
          </w:p>
        </w:tc>
      </w:tr>
      <w:tr>
        <w:tblPrEx>
          <w:tblW w:w="0" w:type="auto"/>
          <w:jc w:val="center"/>
          <w:tblCellMar>
            <w:left w:w="70" w:type="dxa"/>
            <w:right w:w="70" w:type="dxa"/>
          </w:tblCellMar>
          <w:tblLook w:val="04A0"/>
        </w:tblPrEx>
        <w:trPr>
          <w:cantSplit/>
          <w:trHeight w:val="227"/>
          <w:jc w:val="center"/>
        </w:trPr>
        <w:tc>
          <w:tcPr>
            <w:tcW w:w="0" w:type="auto"/>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Poznań</w:t>
            </w:r>
          </w:p>
        </w:tc>
        <w:tc>
          <w:tcPr>
            <w:tcW w:w="3345" w:type="dxa"/>
            <w:shd w:val="clear" w:color="000000" w:fill="FFFFFF"/>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134" w:firstLine="0"/>
              <w:contextualSpacing w:val="0"/>
              <w:jc w:val="right"/>
              <w:rPr>
                <w:rFonts w:eastAsia="Times New Roman" w:cs="Times New Roman"/>
                <w:sz w:val="20"/>
                <w:szCs w:val="20"/>
                <w:lang w:bidi="ar-SA"/>
              </w:rPr>
            </w:pPr>
            <w:r>
              <w:rPr>
                <w:rFonts w:eastAsia="Times New Roman" w:cs="Times New Roman"/>
                <w:sz w:val="20"/>
                <w:szCs w:val="20"/>
                <w:lang w:bidi="ar-SA"/>
              </w:rPr>
              <w:t>14 152</w:t>
            </w:r>
          </w:p>
        </w:tc>
        <w:tc>
          <w:tcPr>
            <w:tcW w:w="3231"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134" w:firstLine="0"/>
              <w:contextualSpacing w:val="0"/>
              <w:jc w:val="right"/>
              <w:rPr>
                <w:rFonts w:eastAsia="Times New Roman" w:cs="Times New Roman"/>
                <w:sz w:val="20"/>
                <w:szCs w:val="20"/>
                <w:lang w:bidi="ar-SA"/>
              </w:rPr>
            </w:pPr>
            <w:r>
              <w:rPr>
                <w:rFonts w:eastAsia="Times New Roman" w:cs="Times New Roman"/>
                <w:sz w:val="20"/>
                <w:szCs w:val="20"/>
                <w:lang w:bidi="ar-SA"/>
              </w:rPr>
              <w:t>22 148</w:t>
            </w:r>
          </w:p>
        </w:tc>
        <w:tc>
          <w:tcPr>
            <w:tcW w:w="1134"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70" w:firstLine="0"/>
              <w:contextualSpacing w:val="0"/>
              <w:jc w:val="right"/>
              <w:rPr>
                <w:rFonts w:eastAsia="Times New Roman" w:cs="Times New Roman"/>
                <w:sz w:val="20"/>
                <w:szCs w:val="20"/>
                <w:lang w:bidi="ar-SA"/>
              </w:rPr>
            </w:pPr>
            <w:r>
              <w:rPr>
                <w:rFonts w:eastAsia="Times New Roman" w:cs="Times New Roman"/>
                <w:sz w:val="20"/>
                <w:szCs w:val="20"/>
                <w:lang w:bidi="ar-SA"/>
              </w:rPr>
              <w:t>56,5%</w:t>
            </w:r>
          </w:p>
        </w:tc>
      </w:tr>
      <w:tr>
        <w:tblPrEx>
          <w:tblW w:w="0" w:type="auto"/>
          <w:jc w:val="center"/>
          <w:tblCellMar>
            <w:left w:w="70" w:type="dxa"/>
            <w:right w:w="70" w:type="dxa"/>
          </w:tblCellMar>
          <w:tblLook w:val="04A0"/>
        </w:tblPrEx>
        <w:trPr>
          <w:cantSplit/>
          <w:trHeight w:val="227"/>
          <w:jc w:val="center"/>
        </w:trPr>
        <w:tc>
          <w:tcPr>
            <w:tcW w:w="0" w:type="auto"/>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Koszalin</w:t>
            </w:r>
          </w:p>
        </w:tc>
        <w:tc>
          <w:tcPr>
            <w:tcW w:w="3345" w:type="dxa"/>
            <w:shd w:val="clear" w:color="000000" w:fill="FFFFFF"/>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134" w:firstLine="0"/>
              <w:contextualSpacing w:val="0"/>
              <w:jc w:val="right"/>
              <w:rPr>
                <w:rFonts w:eastAsia="Times New Roman" w:cs="Times New Roman"/>
                <w:sz w:val="20"/>
                <w:szCs w:val="20"/>
                <w:lang w:bidi="ar-SA"/>
              </w:rPr>
            </w:pPr>
            <w:r>
              <w:rPr>
                <w:rFonts w:eastAsia="Times New Roman" w:cs="Times New Roman"/>
                <w:sz w:val="20"/>
                <w:szCs w:val="20"/>
                <w:lang w:bidi="ar-SA"/>
              </w:rPr>
              <w:t>3 197</w:t>
            </w:r>
          </w:p>
        </w:tc>
        <w:tc>
          <w:tcPr>
            <w:tcW w:w="3231"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134" w:firstLine="0"/>
              <w:contextualSpacing w:val="0"/>
              <w:jc w:val="right"/>
              <w:rPr>
                <w:rFonts w:eastAsia="Times New Roman" w:cs="Times New Roman"/>
                <w:sz w:val="20"/>
                <w:szCs w:val="20"/>
                <w:lang w:bidi="ar-SA"/>
              </w:rPr>
            </w:pPr>
            <w:r>
              <w:rPr>
                <w:rFonts w:eastAsia="Times New Roman" w:cs="Times New Roman"/>
                <w:sz w:val="20"/>
                <w:szCs w:val="20"/>
                <w:lang w:bidi="ar-SA"/>
              </w:rPr>
              <w:t>4 568</w:t>
            </w:r>
          </w:p>
        </w:tc>
        <w:tc>
          <w:tcPr>
            <w:tcW w:w="1134"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70" w:firstLine="0"/>
              <w:contextualSpacing w:val="0"/>
              <w:jc w:val="right"/>
              <w:rPr>
                <w:rFonts w:eastAsia="Times New Roman" w:cs="Times New Roman"/>
                <w:sz w:val="20"/>
                <w:szCs w:val="20"/>
                <w:lang w:bidi="ar-SA"/>
              </w:rPr>
            </w:pPr>
            <w:r>
              <w:rPr>
                <w:rFonts w:eastAsia="Times New Roman" w:cs="Times New Roman"/>
                <w:sz w:val="20"/>
                <w:szCs w:val="20"/>
                <w:lang w:bidi="ar-SA"/>
              </w:rPr>
              <w:t>42,9%</w:t>
            </w:r>
          </w:p>
        </w:tc>
      </w:tr>
    </w:tbl>
    <w:p>
      <w:pPr>
        <w:keepNext w:val="0"/>
        <w:keepLines w:val="0"/>
        <w:widowControl/>
        <w:suppressLineNumbers w:val="0"/>
        <w:shd w:val="clear" w:color="auto" w:fill="FFFFFF"/>
        <w:suppressAutoHyphens w:val="0"/>
        <w:spacing w:before="0" w:beforeAutospacing="0" w:after="12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*na podstawie danych MF</w:t>
      </w:r>
    </w:p>
    <w:p>
      <w:pPr>
        <w:keepNext w:val="0"/>
        <w:keepLines w:val="0"/>
        <w:widowControl/>
        <w:suppressLineNumbers w:val="0"/>
        <w:shd w:val="clear" w:color="auto" w:fill="auto"/>
        <w:suppressAutoHyphens w:val="0"/>
        <w:spacing w:before="240" w:beforeAutospacing="0" w:after="12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WNIOSEK: miasto Bytom traci zatem podwójnie: raz na algorytmach wyliczeń potrzeb oświatowych, które są przez spadek dzieci zaniżone, drugi raz na potrzebach wyrównawczych, bo zgodnie z ustawą staje się przez to „coraz zamożniejszy”.</w:t>
      </w:r>
    </w:p>
    <w:p>
      <w:pPr>
        <w:keepNext w:val="0"/>
        <w:keepLines w:val="0"/>
        <w:widowControl/>
        <w:numPr>
          <w:ilvl w:val="0"/>
          <w:numId w:val="3"/>
        </w:numPr>
        <w:suppressLineNumbers w:val="0"/>
        <w:shd w:val="clear" w:color="auto" w:fill="auto"/>
        <w:suppressAutoHyphens w:val="0"/>
        <w:spacing w:before="0" w:beforeAutospacing="0" w:after="120" w:afterAutospacing="0" w:line="240" w:lineRule="auto"/>
        <w:ind w:left="340" w:right="0" w:hanging="340"/>
        <w:contextualSpacing w:val="0"/>
        <w:jc w:val="both"/>
        <w:rPr>
          <w:rFonts w:eastAsia="Times New Roman" w:cs="Times New Roman"/>
          <w:b/>
          <w:i/>
          <w:szCs w:val="20"/>
          <w:lang w:bidi="ar-SA"/>
        </w:rPr>
      </w:pPr>
      <w:r>
        <w:rPr>
          <w:rFonts w:eastAsia="Times New Roman" w:cs="Times New Roman"/>
          <w:b/>
          <w:i/>
          <w:szCs w:val="20"/>
          <w:lang w:bidi="ar-SA"/>
        </w:rPr>
        <w:t>Determinanta powierzchni gminy objętej utrzymaniem czystości i porządku w okresie letnim i zimowym.</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Porównując sposób wykazywania przez MNPP danych w tym zakresie w sprawozdaniach przekazywanych do GUS powzięto wątpliwość co do sposobu interpretacji przepisów w zakresie instrukcji określającej sposób wypełniania sprawozdań statystycznych. W wyniku analiz stwierdzono znacząco rozbieżne wartości przy zbliżonych powierzchniowo obszarach MNPP. Zauważono również przyrosty w niektórych miastach (z roku na rok), wpływające na przeliczeniową liczbę ludności. Dlatego wystąpiono do GUS o umożliwienie złożenia korekt w tym zakresie, skutkiem których będzie korzystniejsza prezentacja potrzeb wyrównawczych miasta.</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W tym miejscu należy wskazać algorytm ustawowy wyliczeń wskaźnika zamożności Bytomia, opartego na przeliczeniowej liczbie ludności.</w:t>
      </w:r>
    </w:p>
    <w:tbl>
      <w:tblPr>
        <w:tblStyle w:val="TableNormal"/>
        <w:tblW w:w="13144" w:type="dxa"/>
        <w:tblCellMar>
          <w:left w:w="70" w:type="dxa"/>
          <w:right w:w="70" w:type="dxa"/>
        </w:tblCellMar>
        <w:tblLook w:val="04A0"/>
      </w:tblPr>
      <w:tblGrid>
        <w:gridCol w:w="3417"/>
        <w:gridCol w:w="9727"/>
      </w:tblGrid>
      <w:tr>
        <w:tblPrEx>
          <w:tblW w:w="13144" w:type="dxa"/>
          <w:tblCellMar>
            <w:left w:w="70" w:type="dxa"/>
            <w:right w:w="70" w:type="dxa"/>
          </w:tblCellMar>
          <w:tblLook w:val="04A0"/>
        </w:tblPrEx>
        <w:trPr>
          <w:trHeight w:val="264"/>
        </w:trPr>
        <w:tc>
          <w:tcPr>
            <w:tcW w:w="3336" w:type="dxa"/>
            <w:vMerge w:val="restart"/>
            <w:tcBorders>
              <w:top w:val="nil"/>
              <w:left w:val="nil"/>
              <w:bottom w:val="nil"/>
              <w:right w:val="nil"/>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lang w:bidi="ar-SA"/>
              </w:rPr>
            </w:pPr>
            <w:r>
              <w:rPr>
                <w:rFonts w:eastAsia="Times New Roman" w:cs="Times New Roman"/>
                <w:b/>
                <w:sz w:val="20"/>
                <w:szCs w:val="20"/>
                <w:lang w:bidi="ar-SA"/>
              </w:rPr>
              <w:t>wskaźnik zamożności Bytomia =</w:t>
            </w:r>
          </w:p>
        </w:tc>
        <w:tc>
          <w:tcPr>
            <w:tcW w:w="9808" w:type="dxa"/>
            <w:tcBorders>
              <w:top w:val="nil"/>
              <w:left w:val="nil"/>
              <w:bottom w:val="single" w:sz="4" w:space="0" w:color="auto"/>
              <w:right w:val="nil"/>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podstawowe dochody podatkowe z Rb PDP za 2024 (bez PIT i CIT) + planowane dochody PIT i CIT na 2026</w:t>
            </w:r>
          </w:p>
        </w:tc>
      </w:tr>
      <w:tr>
        <w:tblPrEx>
          <w:tblW w:w="13144" w:type="dxa"/>
          <w:tblCellMar>
            <w:left w:w="70" w:type="dxa"/>
            <w:right w:w="70" w:type="dxa"/>
          </w:tblCellMar>
          <w:tblLook w:val="04A0"/>
        </w:tblPrEx>
        <w:trPr>
          <w:trHeight w:val="249"/>
        </w:trPr>
        <w:tc>
          <w:tcPr>
            <w:tcW w:w="3336" w:type="dxa"/>
            <w:vMerge/>
            <w:tcBorders>
              <w:top w:val="nil"/>
              <w:left w:val="nil"/>
              <w:bottom w:val="nil"/>
              <w:right w:val="nil"/>
            </w:tcBorders>
            <w:vAlign w:val="center"/>
            <w:hideMark/>
          </w:tcPr>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center"/>
              <w:rPr>
                <w:rFonts w:eastAsia="Times New Roman" w:cs="Times New Roman"/>
                <w:sz w:val="20"/>
                <w:szCs w:val="20"/>
                <w:lang w:bidi="ar-SA"/>
              </w:rPr>
            </w:pPr>
          </w:p>
        </w:tc>
        <w:tc>
          <w:tcPr>
            <w:tcW w:w="9808" w:type="dxa"/>
            <w:tcBorders>
              <w:top w:val="nil"/>
              <w:left w:val="nil"/>
              <w:bottom w:val="nil"/>
              <w:right w:val="nil"/>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b/>
                <w:sz w:val="22"/>
                <w:szCs w:val="20"/>
                <w:lang w:bidi="ar-SA"/>
              </w:rPr>
              <w:t>przeliczeniowa liczba mieszkańców Bytomia</w:t>
            </w:r>
          </w:p>
        </w:tc>
      </w:tr>
    </w:tbl>
    <w:p>
      <w:pPr>
        <w:keepNext w:val="0"/>
        <w:keepLines w:val="0"/>
        <w:widowControl/>
        <w:suppressLineNumbers w:val="0"/>
        <w:shd w:val="clear" w:color="auto" w:fill="auto"/>
        <w:suppressAutoHyphens w:val="0"/>
        <w:spacing w:before="24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System dochodów oparty na mechanizmach ustawy z 1 października 2024r. o dochodach jednostek samorządu terytorialnego obniża dla Bytomia opartą na determinantach przeliczeniową liczbę ludności, która występuje w mianowniku ww. wzoru.</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Efektem takiego działania jest wyższy wskaźnik zamożności Bytomia. Przekracza on 80%, co eliminuje miasto z partycypacji w zakresie potrzeb wyrównawczych. W efekcie Bytom traci 82 mln zł względem roku 2025 (przekazywanych miastu w formie subwencji).</w:t>
      </w:r>
    </w:p>
    <w:p>
      <w:pPr>
        <w:keepNext w:val="0"/>
        <w:keepLines w:val="0"/>
        <w:widowControl/>
        <w:suppressLineNumbers w:val="0"/>
        <w:shd w:val="clear" w:color="auto" w:fill="auto"/>
        <w:suppressAutoHyphens w:val="0"/>
        <w:spacing w:before="24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 xml:space="preserve">Prognozuje się, że Bytom w latach 2027-2029 będzie spełniał warunek do ustalenia potrzeb wyrównawczych, tj. indywidualny wskaźnik zamożności będzie mniejszy niż 80% jego wskaźnika ustalonego dla miast na prawach powiatu zgodnie z art. 24 ustawy. </w:t>
      </w:r>
    </w:p>
    <w:p>
      <w:pPr>
        <w:keepNext w:val="0"/>
        <w:keepLines w:val="0"/>
        <w:widowControl/>
        <w:suppressLineNumbers w:val="0"/>
        <w:shd w:val="clear" w:color="auto" w:fill="auto"/>
        <w:suppressAutoHyphens w:val="0"/>
        <w:spacing w:before="24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Jest to uzasadnione wyliczeniami, opartymi na danych z lat poprzednich, gdzie do roku 2024 Bytom miał jeden z najniższych wskaźników zamożności wśród gmin i powiatów w Polsce, przez co otrzymywał wysokie transfery z budżetu państwa w formie subwencji wyrównawczych i dodatkowych uzupełnień jego dochodów (tzw. kroplówek najwyższych wśród gmin).</w:t>
      </w:r>
    </w:p>
    <w:p>
      <w:pPr>
        <w:keepNext w:val="0"/>
        <w:keepLines w:val="0"/>
        <w:widowControl/>
        <w:suppressLineNumbers w:val="0"/>
        <w:shd w:val="clear" w:color="auto" w:fill="auto"/>
        <w:suppressAutoHyphens w:val="0"/>
        <w:spacing w:before="24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Wskaźnik zamożności dla Bytomia wynosił w poszczególnych latach:</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18"/>
        <w:gridCol w:w="2328"/>
        <w:gridCol w:w="10249"/>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340"/>
          <w:jc w:val="center"/>
        </w:trPr>
        <w:tc>
          <w:tcPr>
            <w:tcW w:w="1668" w:type="dxa"/>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lata</w:t>
            </w:r>
          </w:p>
        </w:tc>
        <w:tc>
          <w:tcPr>
            <w:tcW w:w="2076" w:type="dxa"/>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Wartość wskaźnika</w:t>
            </w:r>
          </w:p>
        </w:tc>
        <w:tc>
          <w:tcPr>
            <w:tcW w:w="10033" w:type="dxa"/>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UWAGI</w:t>
            </w:r>
          </w:p>
        </w:tc>
      </w:tr>
      <w:tr>
        <w:tblPrEx>
          <w:tblW w:w="0" w:type="auto"/>
          <w:jc w:val="center"/>
          <w:tblLook w:val="04A0"/>
        </w:tblPrEx>
        <w:trPr>
          <w:trHeight w:val="227"/>
          <w:jc w:val="center"/>
        </w:trPr>
        <w:tc>
          <w:tcPr>
            <w:tcW w:w="1668" w:type="dxa"/>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2021</w:t>
            </w:r>
          </w:p>
        </w:tc>
        <w:tc>
          <w:tcPr>
            <w:tcW w:w="2076" w:type="dxa"/>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75,52%</w:t>
            </w:r>
          </w:p>
        </w:tc>
        <w:tc>
          <w:tcPr>
            <w:tcW w:w="10033" w:type="dxa"/>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Subwencja wyrównawcza w kwocie 57 809 717 zł</w:t>
            </w:r>
          </w:p>
        </w:tc>
      </w:tr>
      <w:tr>
        <w:tblPrEx>
          <w:tblW w:w="0" w:type="auto"/>
          <w:jc w:val="center"/>
          <w:tblLook w:val="04A0"/>
        </w:tblPrEx>
        <w:trPr>
          <w:trHeight w:val="227"/>
          <w:jc w:val="center"/>
        </w:trPr>
        <w:tc>
          <w:tcPr>
            <w:tcW w:w="1668" w:type="dxa"/>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2022</w:t>
            </w:r>
          </w:p>
        </w:tc>
        <w:tc>
          <w:tcPr>
            <w:tcW w:w="2076" w:type="dxa"/>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71,56%</w:t>
            </w:r>
          </w:p>
        </w:tc>
        <w:tc>
          <w:tcPr>
            <w:tcW w:w="10033" w:type="dxa"/>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Subwencja wyrównawcza w kwocie 72 437 699 zł</w:t>
            </w:r>
          </w:p>
        </w:tc>
      </w:tr>
      <w:tr>
        <w:tblPrEx>
          <w:tblW w:w="0" w:type="auto"/>
          <w:jc w:val="center"/>
          <w:tblLook w:val="04A0"/>
        </w:tblPrEx>
        <w:trPr>
          <w:trHeight w:val="227"/>
          <w:jc w:val="center"/>
        </w:trPr>
        <w:tc>
          <w:tcPr>
            <w:tcW w:w="1668" w:type="dxa"/>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2023</w:t>
            </w:r>
          </w:p>
        </w:tc>
        <w:tc>
          <w:tcPr>
            <w:tcW w:w="2076" w:type="dxa"/>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68,92%</w:t>
            </w:r>
          </w:p>
        </w:tc>
        <w:tc>
          <w:tcPr>
            <w:tcW w:w="10033" w:type="dxa"/>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Subwencja wyrównawcza w kwocie 81 922 114 zł</w:t>
            </w:r>
          </w:p>
        </w:tc>
      </w:tr>
      <w:tr>
        <w:tblPrEx>
          <w:tblW w:w="0" w:type="auto"/>
          <w:jc w:val="center"/>
          <w:tblLook w:val="04A0"/>
        </w:tblPrEx>
        <w:trPr>
          <w:trHeight w:val="227"/>
          <w:jc w:val="center"/>
        </w:trPr>
        <w:tc>
          <w:tcPr>
            <w:tcW w:w="1668" w:type="dxa"/>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2024</w:t>
            </w:r>
          </w:p>
        </w:tc>
        <w:tc>
          <w:tcPr>
            <w:tcW w:w="2076" w:type="dxa"/>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73,88%</w:t>
            </w:r>
          </w:p>
        </w:tc>
        <w:tc>
          <w:tcPr>
            <w:tcW w:w="10033" w:type="dxa"/>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Subwencja wyrównawcza w kwocie 78 097 347 zł</w:t>
            </w:r>
          </w:p>
        </w:tc>
      </w:tr>
      <w:tr>
        <w:tblPrEx>
          <w:tblW w:w="0" w:type="auto"/>
          <w:jc w:val="center"/>
          <w:tblLook w:val="04A0"/>
        </w:tblPrEx>
        <w:trPr>
          <w:trHeight w:val="227"/>
          <w:jc w:val="center"/>
        </w:trPr>
        <w:tc>
          <w:tcPr>
            <w:tcW w:w="1668" w:type="dxa"/>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2025</w:t>
            </w:r>
          </w:p>
        </w:tc>
        <w:tc>
          <w:tcPr>
            <w:tcW w:w="2076" w:type="dxa"/>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72,20%</w:t>
            </w:r>
          </w:p>
        </w:tc>
        <w:tc>
          <w:tcPr>
            <w:tcW w:w="10033" w:type="dxa"/>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Potrzeby wyrównawcze wyliczono na poziomie 82 212 733 zł</w:t>
            </w:r>
          </w:p>
        </w:tc>
      </w:tr>
      <w:tr>
        <w:tblPrEx>
          <w:tblW w:w="0" w:type="auto"/>
          <w:jc w:val="center"/>
          <w:tblLook w:val="04A0"/>
        </w:tblPrEx>
        <w:trPr>
          <w:trHeight w:val="227"/>
          <w:jc w:val="center"/>
        </w:trPr>
        <w:tc>
          <w:tcPr>
            <w:tcW w:w="1668" w:type="dxa"/>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2026</w:t>
            </w:r>
          </w:p>
        </w:tc>
        <w:tc>
          <w:tcPr>
            <w:tcW w:w="2076" w:type="dxa"/>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80,13%</w:t>
            </w:r>
          </w:p>
        </w:tc>
        <w:tc>
          <w:tcPr>
            <w:tcW w:w="10033" w:type="dxa"/>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Wartość wyklucza z mechanizmu wyrównawczego i uznaje jako zamożne miasto, poprzez obniżenie przeliczeniowej liczby mieszkańców. Wyliczenie potrzeb wyrównawczych na poziomie 0 zł</w:t>
            </w:r>
          </w:p>
        </w:tc>
      </w:tr>
    </w:tbl>
    <w:p>
      <w:pPr>
        <w:keepNext w:val="0"/>
        <w:keepLines w:val="0"/>
        <w:widowControl/>
        <w:suppressLineNumbers w:val="0"/>
        <w:shd w:val="clear" w:color="auto" w:fill="auto"/>
        <w:suppressAutoHyphens w:val="0"/>
        <w:spacing w:before="24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 xml:space="preserve">Biorąc pod uwagę powyższe przyjęto na lata 2027-2029 wartości wskaźnika zamożności z uwzględnieniem złożonych przez miasto korekt, wyliczając jednocześnie należne miastu transfery mając na względzie wyliczenia potrzeb wyrównawczych, przyjmując, że stosunek indywidualnego wskaźnika zamożności Bytomia do wskaźnika zamożności danej kategorii jst na przestrzeni lat 2027-2029 będzie kształtował się na średnim poziomie 71,8%. </w:t>
      </w:r>
    </w:p>
    <w:p>
      <w:pPr>
        <w:keepNext w:val="0"/>
        <w:keepLines w:val="0"/>
        <w:widowControl/>
        <w:suppressLineNumbers w:val="0"/>
        <w:shd w:val="clear" w:color="auto" w:fill="auto"/>
        <w:suppressAutoHyphens w:val="0"/>
        <w:spacing w:before="24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Kwotę prognozowanych potrzeb wyrównawczych obliczono jako iloczyn przeliczeniowej liczby mieszkańców Bytomia oraz kwoty stanowiącej w poszczególnych latach różnicę pomiędzy 80% wskaźnika zamożności wszystkich miast na prawach powiatu a kwotą indywidualnego wskaźnika zamożności ustalonego dla Bytomia. Szczegóły wyliczeń zawiera poniższa tabela:</w:t>
      </w:r>
    </w:p>
    <w:p>
      <w:pPr>
        <w:keepNext w:val="0"/>
        <w:keepLines w:val="0"/>
        <w:widowControl/>
        <w:suppressLineNumbers w:val="0"/>
        <w:shd w:val="clear" w:color="auto" w:fill="auto"/>
        <w:suppressAutoHyphens w:val="0"/>
        <w:spacing w:before="24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br w:type="page"/>
      </w:r>
    </w:p>
    <w:tbl>
      <w:tblPr>
        <w:tblStyle w:val="TableNormal"/>
        <w:tblW w:w="14893"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496"/>
        <w:gridCol w:w="1077"/>
        <w:gridCol w:w="1190"/>
        <w:gridCol w:w="1244"/>
        <w:gridCol w:w="985"/>
        <w:gridCol w:w="1134"/>
        <w:gridCol w:w="1110"/>
        <w:gridCol w:w="985"/>
        <w:gridCol w:w="1287"/>
        <w:gridCol w:w="1421"/>
        <w:gridCol w:w="1296"/>
        <w:gridCol w:w="1252"/>
        <w:gridCol w:w="1416"/>
      </w:tblGrid>
      <w:tr>
        <w:tblPrEx>
          <w:tblW w:w="14893"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Ex>
        <w:trPr>
          <w:trHeight w:val="227"/>
        </w:trPr>
        <w:tc>
          <w:tcPr>
            <w:tcW w:w="496" w:type="dxa"/>
            <w:vAlign w:val="center"/>
            <w:hideMark/>
          </w:tcPr>
          <w:p>
            <w:pPr>
              <w:keepNext w:val="0"/>
              <w:keepLines w:val="0"/>
              <w:widowControl/>
              <w:suppressLineNumbers w:val="0"/>
              <w:shd w:val="clear" w:color="auto" w:fill="auto"/>
              <w:suppressAutoHyphens w:val="0"/>
              <w:spacing w:before="0" w:beforeAutospacing="0" w:after="12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 xml:space="preserve">ROK </w:t>
            </w:r>
          </w:p>
        </w:tc>
        <w:tc>
          <w:tcPr>
            <w:tcW w:w="1077" w:type="dxa"/>
            <w:vAlign w:val="center"/>
            <w:hideMark/>
          </w:tcPr>
          <w:p>
            <w:pPr>
              <w:keepNext w:val="0"/>
              <w:keepLines w:val="0"/>
              <w:widowControl/>
              <w:suppressLineNumbers w:val="0"/>
              <w:shd w:val="clear" w:color="auto" w:fill="auto"/>
              <w:suppressAutoHyphens w:val="0"/>
              <w:spacing w:before="0" w:beforeAutospacing="0" w:after="12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 xml:space="preserve">razem dochody podatkowe </w:t>
            </w:r>
          </w:p>
        </w:tc>
        <w:tc>
          <w:tcPr>
            <w:tcW w:w="1190" w:type="dxa"/>
            <w:vAlign w:val="center"/>
            <w:hideMark/>
          </w:tcPr>
          <w:p>
            <w:pPr>
              <w:keepNext w:val="0"/>
              <w:keepLines w:val="0"/>
              <w:widowControl/>
              <w:suppressLineNumbers w:val="0"/>
              <w:shd w:val="clear" w:color="auto" w:fill="auto"/>
              <w:suppressAutoHyphens w:val="0"/>
              <w:spacing w:before="0" w:beforeAutospacing="0" w:after="12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przeliczeniowa liczba mieszkańców Bytomia w przypadku uwzględnienia korekty</w:t>
            </w:r>
          </w:p>
        </w:tc>
        <w:tc>
          <w:tcPr>
            <w:tcW w:w="1244" w:type="dxa"/>
            <w:vAlign w:val="center"/>
            <w:hideMark/>
          </w:tcPr>
          <w:p>
            <w:pPr>
              <w:keepNext w:val="0"/>
              <w:keepLines w:val="0"/>
              <w:widowControl/>
              <w:suppressLineNumbers w:val="0"/>
              <w:shd w:val="clear" w:color="auto" w:fill="auto"/>
              <w:suppressAutoHyphens w:val="0"/>
              <w:spacing w:before="0" w:beforeAutospacing="0" w:after="12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 xml:space="preserve">przeliczeniowa liczba mieszkańców Bytomia wg MF </w:t>
            </w:r>
          </w:p>
        </w:tc>
        <w:tc>
          <w:tcPr>
            <w:tcW w:w="985" w:type="dxa"/>
            <w:vAlign w:val="center"/>
            <w:hideMark/>
          </w:tcPr>
          <w:p>
            <w:pPr>
              <w:keepNext w:val="0"/>
              <w:keepLines w:val="0"/>
              <w:widowControl/>
              <w:suppressLineNumbers w:val="0"/>
              <w:shd w:val="clear" w:color="auto" w:fill="auto"/>
              <w:suppressAutoHyphens w:val="0"/>
              <w:spacing w:before="0" w:beforeAutospacing="0" w:after="12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 xml:space="preserve">wskaźnik zamożności </w:t>
            </w:r>
          </w:p>
        </w:tc>
        <w:tc>
          <w:tcPr>
            <w:tcW w:w="1134" w:type="dxa"/>
            <w:vAlign w:val="center"/>
            <w:hideMark/>
          </w:tcPr>
          <w:p>
            <w:pPr>
              <w:keepNext w:val="0"/>
              <w:keepLines w:val="0"/>
              <w:widowControl/>
              <w:suppressLineNumbers w:val="0"/>
              <w:shd w:val="clear" w:color="auto" w:fill="auto"/>
              <w:suppressAutoHyphens w:val="0"/>
              <w:spacing w:before="0" w:beforeAutospacing="0" w:after="12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 xml:space="preserve">relacja wskaźnika zamożności Bytomia do wskaźnika zamożności danej kategorii JST, wg inf. MF </w:t>
            </w:r>
          </w:p>
        </w:tc>
        <w:tc>
          <w:tcPr>
            <w:tcW w:w="1110" w:type="dxa"/>
            <w:vAlign w:val="center"/>
            <w:hideMark/>
          </w:tcPr>
          <w:p>
            <w:pPr>
              <w:keepNext w:val="0"/>
              <w:keepLines w:val="0"/>
              <w:widowControl/>
              <w:suppressLineNumbers w:val="0"/>
              <w:shd w:val="clear" w:color="auto" w:fill="auto"/>
              <w:suppressAutoHyphens w:val="0"/>
              <w:spacing w:before="0" w:beforeAutospacing="0" w:after="12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 xml:space="preserve">wskaźnik zamożności danej kategorii JST (indywidualny wskaźnik Bytomia/ relację wskaźnika) </w:t>
            </w:r>
          </w:p>
        </w:tc>
        <w:tc>
          <w:tcPr>
            <w:tcW w:w="985" w:type="dxa"/>
            <w:vAlign w:val="center"/>
            <w:hideMark/>
          </w:tcPr>
          <w:p>
            <w:pPr>
              <w:keepNext w:val="0"/>
              <w:keepLines w:val="0"/>
              <w:widowControl/>
              <w:suppressLineNumbers w:val="0"/>
              <w:shd w:val="clear" w:color="auto" w:fill="auto"/>
              <w:suppressAutoHyphens w:val="0"/>
              <w:spacing w:before="0" w:beforeAutospacing="0" w:after="12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 xml:space="preserve">80% wskaźnika zamożności danej kategorii JST </w:t>
            </w:r>
          </w:p>
        </w:tc>
        <w:tc>
          <w:tcPr>
            <w:tcW w:w="1287" w:type="dxa"/>
            <w:vAlign w:val="center"/>
            <w:hideMark/>
          </w:tcPr>
          <w:p>
            <w:pPr>
              <w:keepNext w:val="0"/>
              <w:keepLines w:val="0"/>
              <w:widowControl/>
              <w:suppressLineNumbers w:val="0"/>
              <w:shd w:val="clear" w:color="auto" w:fill="auto"/>
              <w:suppressAutoHyphens w:val="0"/>
              <w:spacing w:before="0" w:beforeAutospacing="0" w:after="12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 xml:space="preserve">Różnica pomiędzy 80% wskaźnika zamożności danej kategorii JST a wskaźnikiem Bytomia </w:t>
            </w:r>
          </w:p>
        </w:tc>
        <w:tc>
          <w:tcPr>
            <w:tcW w:w="1421" w:type="dxa"/>
            <w:vAlign w:val="center"/>
            <w:hideMark/>
          </w:tcPr>
          <w:p>
            <w:pPr>
              <w:keepNext w:val="0"/>
              <w:keepLines w:val="0"/>
              <w:widowControl/>
              <w:suppressLineNumbers w:val="0"/>
              <w:shd w:val="clear" w:color="auto" w:fill="auto"/>
              <w:suppressAutoHyphens w:val="0"/>
              <w:spacing w:before="0" w:beforeAutospacing="0" w:after="12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 xml:space="preserve">Kwota potrzeb wyrównawczych (różnica * przeliczeniowa liczba mieszkańców Bytomia) </w:t>
            </w:r>
          </w:p>
        </w:tc>
        <w:tc>
          <w:tcPr>
            <w:tcW w:w="1296" w:type="dxa"/>
            <w:vAlign w:val="center"/>
            <w:hideMark/>
          </w:tcPr>
          <w:p>
            <w:pPr>
              <w:keepNext w:val="0"/>
              <w:keepLines w:val="0"/>
              <w:widowControl/>
              <w:suppressLineNumbers w:val="0"/>
              <w:shd w:val="clear" w:color="auto" w:fill="auto"/>
              <w:suppressAutoHyphens w:val="0"/>
              <w:spacing w:before="0" w:beforeAutospacing="0" w:after="12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 xml:space="preserve">Kwota potrzeb wyrównawczych wg informacji MF </w:t>
            </w:r>
          </w:p>
        </w:tc>
        <w:tc>
          <w:tcPr>
            <w:tcW w:w="1252" w:type="dxa"/>
            <w:vAlign w:val="center"/>
            <w:hideMark/>
          </w:tcPr>
          <w:p>
            <w:pPr>
              <w:keepNext w:val="0"/>
              <w:keepLines w:val="0"/>
              <w:widowControl/>
              <w:suppressLineNumbers w:val="0"/>
              <w:shd w:val="clear" w:color="auto" w:fill="auto"/>
              <w:suppressAutoHyphens w:val="0"/>
              <w:spacing w:before="0" w:beforeAutospacing="0" w:after="12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 xml:space="preserve">Różnica – transfery po korekcie złożonej przez miasto BYTOM </w:t>
            </w:r>
          </w:p>
        </w:tc>
        <w:tc>
          <w:tcPr>
            <w:tcW w:w="1416" w:type="dxa"/>
            <w:vAlign w:val="center"/>
            <w:hideMark/>
          </w:tcPr>
          <w:p>
            <w:pPr>
              <w:keepNext w:val="0"/>
              <w:keepLines w:val="0"/>
              <w:widowControl/>
              <w:suppressLineNumbers w:val="0"/>
              <w:shd w:val="clear" w:color="auto" w:fill="auto"/>
              <w:suppressAutoHyphens w:val="0"/>
              <w:spacing w:before="0" w:beforeAutospacing="0" w:after="12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 xml:space="preserve">Kwota potrzeb wyrównawczych wg MF </w:t>
            </w:r>
          </w:p>
        </w:tc>
      </w:tr>
      <w:tr>
        <w:tblPrEx>
          <w:tblW w:w="14893" w:type="dxa"/>
          <w:tblInd w:w="60" w:type="dxa"/>
          <w:tblLayout w:type="fixed"/>
          <w:tblCellMar>
            <w:left w:w="70" w:type="dxa"/>
            <w:right w:w="70" w:type="dxa"/>
          </w:tblCellMar>
          <w:tblLook w:val="04A0"/>
        </w:tblPrEx>
        <w:trPr>
          <w:trHeight w:val="227"/>
        </w:trPr>
        <w:tc>
          <w:tcPr>
            <w:tcW w:w="496" w:type="dxa"/>
            <w:shd w:val="clear" w:color="auto" w:fill="D9D9D9"/>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2025</w:t>
            </w:r>
          </w:p>
        </w:tc>
        <w:tc>
          <w:tcPr>
            <w:tcW w:w="1077" w:type="dxa"/>
            <w:shd w:val="clear" w:color="auto"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759 484 507</w:t>
            </w:r>
          </w:p>
        </w:tc>
        <w:tc>
          <w:tcPr>
            <w:tcW w:w="1190" w:type="dxa"/>
            <w:shd w:val="clear" w:color="auto"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148 499</w:t>
            </w:r>
          </w:p>
        </w:tc>
        <w:tc>
          <w:tcPr>
            <w:tcW w:w="1244" w:type="dxa"/>
            <w:shd w:val="clear" w:color="auto"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140 732</w:t>
            </w:r>
          </w:p>
        </w:tc>
        <w:tc>
          <w:tcPr>
            <w:tcW w:w="985" w:type="dxa"/>
            <w:shd w:val="clear" w:color="auto"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5 114,41</w:t>
            </w:r>
          </w:p>
        </w:tc>
        <w:tc>
          <w:tcPr>
            <w:tcW w:w="1134" w:type="dxa"/>
            <w:shd w:val="clear" w:color="auto"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68,42%</w:t>
            </w:r>
          </w:p>
        </w:tc>
        <w:tc>
          <w:tcPr>
            <w:tcW w:w="1110" w:type="dxa"/>
            <w:shd w:val="clear" w:color="auto"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7 474,62</w:t>
            </w:r>
          </w:p>
        </w:tc>
        <w:tc>
          <w:tcPr>
            <w:tcW w:w="985" w:type="dxa"/>
            <w:shd w:val="clear" w:color="auto"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5 979,70</w:t>
            </w:r>
          </w:p>
        </w:tc>
        <w:tc>
          <w:tcPr>
            <w:tcW w:w="1287" w:type="dxa"/>
            <w:shd w:val="clear" w:color="auto"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865,29</w:t>
            </w:r>
          </w:p>
        </w:tc>
        <w:tc>
          <w:tcPr>
            <w:tcW w:w="1421" w:type="dxa"/>
            <w:shd w:val="clear" w:color="auto"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128 494 700</w:t>
            </w:r>
          </w:p>
        </w:tc>
        <w:tc>
          <w:tcPr>
            <w:tcW w:w="1296" w:type="dxa"/>
            <w:shd w:val="clear" w:color="auto"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82 212 733</w:t>
            </w:r>
          </w:p>
        </w:tc>
        <w:tc>
          <w:tcPr>
            <w:tcW w:w="1252" w:type="dxa"/>
            <w:shd w:val="clear" w:color="auto"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-46 281 967</w:t>
            </w:r>
          </w:p>
        </w:tc>
        <w:tc>
          <w:tcPr>
            <w:tcW w:w="1416" w:type="dxa"/>
            <w:shd w:val="clear" w:color="auto"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82 212 733</w:t>
            </w:r>
          </w:p>
        </w:tc>
      </w:tr>
      <w:tr>
        <w:tblPrEx>
          <w:tblW w:w="14893" w:type="dxa"/>
          <w:tblInd w:w="60" w:type="dxa"/>
          <w:tblLayout w:type="fixed"/>
          <w:tblCellMar>
            <w:left w:w="70" w:type="dxa"/>
            <w:right w:w="70" w:type="dxa"/>
          </w:tblCellMar>
          <w:tblLook w:val="04A0"/>
        </w:tblPrEx>
        <w:trPr>
          <w:trHeight w:val="227"/>
        </w:trPr>
        <w:tc>
          <w:tcPr>
            <w:tcW w:w="496" w:type="dxa"/>
            <w:shd w:val="clear" w:color="auto" w:fill="D9D9D9"/>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2026</w:t>
            </w:r>
          </w:p>
        </w:tc>
        <w:tc>
          <w:tcPr>
            <w:tcW w:w="1077" w:type="dxa"/>
            <w:shd w:val="clear" w:color="auto"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830 233 930</w:t>
            </w:r>
          </w:p>
        </w:tc>
        <w:tc>
          <w:tcPr>
            <w:tcW w:w="1190" w:type="dxa"/>
            <w:shd w:val="clear" w:color="auto"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136 914</w:t>
            </w:r>
          </w:p>
        </w:tc>
        <w:tc>
          <w:tcPr>
            <w:tcW w:w="1244" w:type="dxa"/>
            <w:shd w:val="clear" w:color="auto"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128 674</w:t>
            </w:r>
          </w:p>
        </w:tc>
        <w:tc>
          <w:tcPr>
            <w:tcW w:w="985" w:type="dxa"/>
            <w:shd w:val="clear" w:color="auto"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6 063,91</w:t>
            </w:r>
          </w:p>
        </w:tc>
        <w:tc>
          <w:tcPr>
            <w:tcW w:w="1134" w:type="dxa"/>
            <w:shd w:val="clear" w:color="auto"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75,30%</w:t>
            </w:r>
          </w:p>
        </w:tc>
        <w:tc>
          <w:tcPr>
            <w:tcW w:w="1110" w:type="dxa"/>
            <w:shd w:val="clear" w:color="auto"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8 052,63</w:t>
            </w:r>
          </w:p>
        </w:tc>
        <w:tc>
          <w:tcPr>
            <w:tcW w:w="985" w:type="dxa"/>
            <w:shd w:val="clear" w:color="auto"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6 442,10</w:t>
            </w:r>
          </w:p>
        </w:tc>
        <w:tc>
          <w:tcPr>
            <w:tcW w:w="1287" w:type="dxa"/>
            <w:shd w:val="clear" w:color="auto"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378,19</w:t>
            </w:r>
          </w:p>
        </w:tc>
        <w:tc>
          <w:tcPr>
            <w:tcW w:w="1421" w:type="dxa"/>
            <w:shd w:val="clear" w:color="auto"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51 779 506</w:t>
            </w:r>
          </w:p>
        </w:tc>
        <w:tc>
          <w:tcPr>
            <w:tcW w:w="1296" w:type="dxa"/>
            <w:shd w:val="clear" w:color="auto"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0</w:t>
            </w:r>
          </w:p>
        </w:tc>
        <w:tc>
          <w:tcPr>
            <w:tcW w:w="1252" w:type="dxa"/>
            <w:shd w:val="clear" w:color="auto"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-51 779 506</w:t>
            </w:r>
          </w:p>
        </w:tc>
        <w:tc>
          <w:tcPr>
            <w:tcW w:w="1416" w:type="dxa"/>
            <w:shd w:val="clear" w:color="auto"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0</w:t>
            </w:r>
          </w:p>
        </w:tc>
      </w:tr>
      <w:tr>
        <w:tblPrEx>
          <w:tblW w:w="14893" w:type="dxa"/>
          <w:tblInd w:w="60" w:type="dxa"/>
          <w:tblLayout w:type="fixed"/>
          <w:tblCellMar>
            <w:left w:w="70" w:type="dxa"/>
            <w:right w:w="70" w:type="dxa"/>
          </w:tblCellMar>
          <w:tblLook w:val="04A0"/>
        </w:tblPrEx>
        <w:trPr>
          <w:trHeight w:val="227"/>
        </w:trPr>
        <w:tc>
          <w:tcPr>
            <w:tcW w:w="496"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2027</w:t>
            </w:r>
          </w:p>
        </w:tc>
        <w:tc>
          <w:tcPr>
            <w:tcW w:w="107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873 551 778</w:t>
            </w:r>
          </w:p>
        </w:tc>
        <w:tc>
          <w:tcPr>
            <w:tcW w:w="1190"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136 914</w:t>
            </w:r>
          </w:p>
        </w:tc>
        <w:tc>
          <w:tcPr>
            <w:tcW w:w="1244" w:type="dxa"/>
            <w:shd w:val="clear" w:color="auto"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985"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6 380,30</w:t>
            </w:r>
          </w:p>
        </w:tc>
        <w:tc>
          <w:tcPr>
            <w:tcW w:w="1134"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71,8%</w:t>
            </w:r>
          </w:p>
        </w:tc>
        <w:tc>
          <w:tcPr>
            <w:tcW w:w="1110"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8 886,21</w:t>
            </w:r>
          </w:p>
        </w:tc>
        <w:tc>
          <w:tcPr>
            <w:tcW w:w="985"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7 108,97</w:t>
            </w:r>
          </w:p>
        </w:tc>
        <w:tc>
          <w:tcPr>
            <w:tcW w:w="128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728,67</w:t>
            </w:r>
          </w:p>
        </w:tc>
        <w:tc>
          <w:tcPr>
            <w:tcW w:w="142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99 765 124</w:t>
            </w:r>
          </w:p>
        </w:tc>
        <w:tc>
          <w:tcPr>
            <w:tcW w:w="1296" w:type="dxa"/>
            <w:shd w:val="clear" w:color="auto"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1252" w:type="dxa"/>
            <w:shd w:val="clear" w:color="auto"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1416" w:type="dxa"/>
            <w:shd w:val="clear" w:color="auto"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r>
      <w:tr>
        <w:tblPrEx>
          <w:tblW w:w="14893" w:type="dxa"/>
          <w:tblInd w:w="60" w:type="dxa"/>
          <w:tblLayout w:type="fixed"/>
          <w:tblCellMar>
            <w:left w:w="70" w:type="dxa"/>
            <w:right w:w="70" w:type="dxa"/>
          </w:tblCellMar>
          <w:tblLook w:val="04A0"/>
        </w:tblPrEx>
        <w:trPr>
          <w:trHeight w:val="227"/>
        </w:trPr>
        <w:tc>
          <w:tcPr>
            <w:tcW w:w="496"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2028</w:t>
            </w:r>
          </w:p>
        </w:tc>
        <w:tc>
          <w:tcPr>
            <w:tcW w:w="107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918 708 409</w:t>
            </w:r>
          </w:p>
        </w:tc>
        <w:tc>
          <w:tcPr>
            <w:tcW w:w="1190"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136 914</w:t>
            </w:r>
          </w:p>
        </w:tc>
        <w:tc>
          <w:tcPr>
            <w:tcW w:w="1244" w:type="dxa"/>
            <w:shd w:val="clear" w:color="auto"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985"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6 710,11</w:t>
            </w:r>
          </w:p>
        </w:tc>
        <w:tc>
          <w:tcPr>
            <w:tcW w:w="1134"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71,8%</w:t>
            </w:r>
          </w:p>
        </w:tc>
        <w:tc>
          <w:tcPr>
            <w:tcW w:w="1110"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9 345,56</w:t>
            </w:r>
          </w:p>
        </w:tc>
        <w:tc>
          <w:tcPr>
            <w:tcW w:w="985"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7 476,45</w:t>
            </w:r>
          </w:p>
        </w:tc>
        <w:tc>
          <w:tcPr>
            <w:tcW w:w="128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766,34</w:t>
            </w:r>
          </w:p>
        </w:tc>
        <w:tc>
          <w:tcPr>
            <w:tcW w:w="142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104 922 675</w:t>
            </w:r>
          </w:p>
        </w:tc>
        <w:tc>
          <w:tcPr>
            <w:tcW w:w="1296" w:type="dxa"/>
            <w:shd w:val="clear" w:color="auto"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1252" w:type="dxa"/>
            <w:shd w:val="clear" w:color="auto"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1416" w:type="dxa"/>
            <w:shd w:val="clear" w:color="auto"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r>
      <w:tr>
        <w:tblPrEx>
          <w:tblW w:w="14893" w:type="dxa"/>
          <w:tblInd w:w="60" w:type="dxa"/>
          <w:tblLayout w:type="fixed"/>
          <w:tblCellMar>
            <w:left w:w="70" w:type="dxa"/>
            <w:right w:w="70" w:type="dxa"/>
          </w:tblCellMar>
          <w:tblLook w:val="04A0"/>
        </w:tblPrEx>
        <w:trPr>
          <w:trHeight w:val="227"/>
        </w:trPr>
        <w:tc>
          <w:tcPr>
            <w:tcW w:w="496"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2029</w:t>
            </w:r>
          </w:p>
        </w:tc>
        <w:tc>
          <w:tcPr>
            <w:tcW w:w="107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965 446 682</w:t>
            </w:r>
          </w:p>
        </w:tc>
        <w:tc>
          <w:tcPr>
            <w:tcW w:w="1190"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136 914</w:t>
            </w:r>
          </w:p>
        </w:tc>
        <w:tc>
          <w:tcPr>
            <w:tcW w:w="1244" w:type="dxa"/>
            <w:shd w:val="clear" w:color="auto"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985"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7 051,48</w:t>
            </w:r>
          </w:p>
        </w:tc>
        <w:tc>
          <w:tcPr>
            <w:tcW w:w="1134"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71,8%</w:t>
            </w:r>
          </w:p>
        </w:tc>
        <w:tc>
          <w:tcPr>
            <w:tcW w:w="1110"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9 821,00</w:t>
            </w:r>
          </w:p>
        </w:tc>
        <w:tc>
          <w:tcPr>
            <w:tcW w:w="985"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7 856,80</w:t>
            </w:r>
          </w:p>
        </w:tc>
        <w:tc>
          <w:tcPr>
            <w:tcW w:w="128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805,32</w:t>
            </w:r>
          </w:p>
        </w:tc>
        <w:tc>
          <w:tcPr>
            <w:tcW w:w="1421"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110 259 582</w:t>
            </w:r>
          </w:p>
        </w:tc>
        <w:tc>
          <w:tcPr>
            <w:tcW w:w="1296" w:type="dxa"/>
            <w:shd w:val="clear" w:color="auto"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1252" w:type="dxa"/>
            <w:shd w:val="clear" w:color="auto"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1416" w:type="dxa"/>
            <w:shd w:val="clear" w:color="auto"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r>
    </w:tbl>
    <w:p>
      <w:pPr>
        <w:keepNext w:val="0"/>
        <w:keepLines w:val="0"/>
        <w:widowControl/>
        <w:suppressLineNumbers w:val="0"/>
        <w:shd w:val="clear" w:color="auto" w:fill="auto"/>
        <w:suppressAutoHyphens w:val="0"/>
        <w:spacing w:before="24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 xml:space="preserve">Powyższe wskazuje na wartości uwzględniające korektę złożoną przez miasto. Zostały one </w:t>
      </w:r>
      <w:r>
        <w:rPr>
          <w:rFonts w:eastAsia="Times New Roman" w:cs="Times New Roman"/>
          <w:b/>
          <w:szCs w:val="20"/>
          <w:lang w:bidi="ar-SA"/>
        </w:rPr>
        <w:t>uwzględnione dla wyliczeń i prognoz prezentowanych w niniejszym opracowaniu wyłącznie dla lat 2027-2029</w:t>
      </w:r>
      <w:r>
        <w:rPr>
          <w:rFonts w:eastAsia="Times New Roman" w:cs="Times New Roman"/>
          <w:szCs w:val="20"/>
          <w:lang w:bidi="ar-SA"/>
        </w:rPr>
        <w:t xml:space="preserve">. </w:t>
      </w:r>
    </w:p>
    <w:p>
      <w:pPr>
        <w:keepNext w:val="0"/>
        <w:keepLines w:val="0"/>
        <w:widowControl/>
        <w:suppressLineNumbers w:val="0"/>
        <w:shd w:val="clear" w:color="auto" w:fill="auto"/>
        <w:suppressAutoHyphens w:val="0"/>
        <w:spacing w:before="24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 xml:space="preserve">Aktualnie wg danych MF wyliczenia potrzeb wyrównawczych prezentują się następująco: </w:t>
      </w:r>
    </w:p>
    <w:tbl>
      <w:tblPr>
        <w:tblStyle w:val="TableNormal"/>
        <w:tblW w:w="13598" w:type="dxa"/>
        <w:jc w:val="center"/>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555"/>
        <w:gridCol w:w="1026"/>
        <w:gridCol w:w="1257"/>
        <w:gridCol w:w="1044"/>
        <w:gridCol w:w="1092"/>
        <w:gridCol w:w="1169"/>
        <w:gridCol w:w="1044"/>
        <w:gridCol w:w="1198"/>
        <w:gridCol w:w="1409"/>
        <w:gridCol w:w="1355"/>
        <w:gridCol w:w="1043"/>
        <w:gridCol w:w="1387"/>
      </w:tblGrid>
      <w:tr>
        <w:tblPrEx>
          <w:tblW w:w="13598" w:type="dxa"/>
          <w:jc w:val="center"/>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Ex>
        <w:trPr>
          <w:trHeight w:val="227"/>
          <w:jc w:val="center"/>
        </w:trPr>
        <w:tc>
          <w:tcPr>
            <w:tcW w:w="496"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 xml:space="preserve">ROK </w:t>
            </w:r>
          </w:p>
        </w:tc>
        <w:tc>
          <w:tcPr>
            <w:tcW w:w="1077"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 xml:space="preserve"> razem dochody podatkowe </w:t>
            </w:r>
          </w:p>
        </w:tc>
        <w:tc>
          <w:tcPr>
            <w:tcW w:w="1216"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 xml:space="preserve"> przeliczeniowa liczba mieszkańców Bytomia </w:t>
            </w:r>
          </w:p>
        </w:tc>
        <w:tc>
          <w:tcPr>
            <w:tcW w:w="985"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 xml:space="preserve"> wskaźnik zamożności </w:t>
            </w:r>
          </w:p>
        </w:tc>
        <w:tc>
          <w:tcPr>
            <w:tcW w:w="1133"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 xml:space="preserve"> relacja wskaźnika zamożności Bytomia do wskaźnika zamożności danej kategorii JST, wg inf. MF </w:t>
            </w:r>
          </w:p>
        </w:tc>
        <w:tc>
          <w:tcPr>
            <w:tcW w:w="1110"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 xml:space="preserve"> wskaźnik zamożności danej kategorii JST (indywidualny wskaźnik Bytomia/ relację wskaźnika) </w:t>
            </w:r>
          </w:p>
        </w:tc>
        <w:tc>
          <w:tcPr>
            <w:tcW w:w="985"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 xml:space="preserve"> 80% wskaźnika zamożności danej kategorii JST </w:t>
            </w:r>
          </w:p>
        </w:tc>
        <w:tc>
          <w:tcPr>
            <w:tcW w:w="1330"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 xml:space="preserve"> Różnica pomiędzy 80% wskaźnika zamożności danej kategorii JST a wskaźnikiem Bytomia </w:t>
            </w:r>
          </w:p>
        </w:tc>
        <w:tc>
          <w:tcPr>
            <w:tcW w:w="1462"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 xml:space="preserve"> Kwota potrzeb wyrównawczych (różnica * przeliczeniowa liczba mieszkańców Bytomia) </w:t>
            </w:r>
          </w:p>
        </w:tc>
        <w:tc>
          <w:tcPr>
            <w:tcW w:w="1296"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 xml:space="preserve"> Kwota potrzeb wyrównawczych wg informacji MF </w:t>
            </w:r>
          </w:p>
        </w:tc>
        <w:tc>
          <w:tcPr>
            <w:tcW w:w="1112"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 xml:space="preserve"> różnica wynikająca z zaokrągleń liczb po przecinku </w:t>
            </w:r>
          </w:p>
        </w:tc>
        <w:tc>
          <w:tcPr>
            <w:tcW w:w="1396"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 xml:space="preserve"> Kwota potrzeb wyrównawczych wg MF </w:t>
            </w:r>
          </w:p>
        </w:tc>
      </w:tr>
      <w:tr>
        <w:tblPrEx>
          <w:tblW w:w="13598" w:type="dxa"/>
          <w:jc w:val="center"/>
          <w:tblInd w:w="60" w:type="dxa"/>
          <w:tblCellMar>
            <w:left w:w="70" w:type="dxa"/>
            <w:right w:w="70" w:type="dxa"/>
          </w:tblCellMar>
          <w:tblLook w:val="04A0"/>
        </w:tblPrEx>
        <w:trPr>
          <w:trHeight w:val="227"/>
          <w:jc w:val="center"/>
        </w:trPr>
        <w:tc>
          <w:tcPr>
            <w:tcW w:w="496"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2025</w:t>
            </w:r>
          </w:p>
        </w:tc>
        <w:tc>
          <w:tcPr>
            <w:tcW w:w="107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759 484 507</w:t>
            </w:r>
          </w:p>
        </w:tc>
        <w:tc>
          <w:tcPr>
            <w:tcW w:w="1216"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140 732</w:t>
            </w:r>
          </w:p>
        </w:tc>
        <w:tc>
          <w:tcPr>
            <w:tcW w:w="985"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5 396,67</w:t>
            </w:r>
          </w:p>
        </w:tc>
        <w:tc>
          <w:tcPr>
            <w:tcW w:w="1133"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72,20%</w:t>
            </w:r>
          </w:p>
        </w:tc>
        <w:tc>
          <w:tcPr>
            <w:tcW w:w="1110"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7 474,61</w:t>
            </w:r>
          </w:p>
        </w:tc>
        <w:tc>
          <w:tcPr>
            <w:tcW w:w="985"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5 979,69</w:t>
            </w:r>
          </w:p>
        </w:tc>
        <w:tc>
          <w:tcPr>
            <w:tcW w:w="1330"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583,02</w:t>
            </w:r>
          </w:p>
        </w:tc>
        <w:tc>
          <w:tcPr>
            <w:tcW w:w="1462"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82 049 571</w:t>
            </w:r>
          </w:p>
        </w:tc>
        <w:tc>
          <w:tcPr>
            <w:tcW w:w="1296"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82 212 733</w:t>
            </w:r>
          </w:p>
        </w:tc>
        <w:tc>
          <w:tcPr>
            <w:tcW w:w="1112"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163 162</w:t>
            </w:r>
          </w:p>
        </w:tc>
        <w:tc>
          <w:tcPr>
            <w:tcW w:w="1396"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82 212 733</w:t>
            </w:r>
          </w:p>
        </w:tc>
      </w:tr>
      <w:tr>
        <w:tblPrEx>
          <w:tblW w:w="13598" w:type="dxa"/>
          <w:jc w:val="center"/>
          <w:tblInd w:w="60" w:type="dxa"/>
          <w:tblCellMar>
            <w:left w:w="70" w:type="dxa"/>
            <w:right w:w="70" w:type="dxa"/>
          </w:tblCellMar>
          <w:tblLook w:val="04A0"/>
        </w:tblPrEx>
        <w:trPr>
          <w:trHeight w:val="227"/>
          <w:jc w:val="center"/>
        </w:trPr>
        <w:tc>
          <w:tcPr>
            <w:tcW w:w="496"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2026</w:t>
            </w:r>
          </w:p>
        </w:tc>
        <w:tc>
          <w:tcPr>
            <w:tcW w:w="107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830 233 930</w:t>
            </w:r>
          </w:p>
        </w:tc>
        <w:tc>
          <w:tcPr>
            <w:tcW w:w="1216"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128 674</w:t>
            </w:r>
          </w:p>
        </w:tc>
        <w:tc>
          <w:tcPr>
            <w:tcW w:w="985"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6 452,23</w:t>
            </w:r>
          </w:p>
        </w:tc>
        <w:tc>
          <w:tcPr>
            <w:tcW w:w="1133"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80,13%</w:t>
            </w:r>
          </w:p>
        </w:tc>
        <w:tc>
          <w:tcPr>
            <w:tcW w:w="1110"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8 052,63</w:t>
            </w:r>
          </w:p>
        </w:tc>
        <w:tc>
          <w:tcPr>
            <w:tcW w:w="985"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6 442,10</w:t>
            </w:r>
          </w:p>
        </w:tc>
        <w:tc>
          <w:tcPr>
            <w:tcW w:w="1330"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-10,13</w:t>
            </w:r>
          </w:p>
        </w:tc>
        <w:tc>
          <w:tcPr>
            <w:tcW w:w="1462"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0</w:t>
            </w:r>
          </w:p>
        </w:tc>
        <w:tc>
          <w:tcPr>
            <w:tcW w:w="1296"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0</w:t>
            </w:r>
          </w:p>
        </w:tc>
        <w:tc>
          <w:tcPr>
            <w:tcW w:w="1112"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1396"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0</w:t>
            </w:r>
          </w:p>
        </w:tc>
      </w:tr>
    </w:tbl>
    <w:p>
      <w:pPr>
        <w:keepNext w:val="0"/>
        <w:keepLines w:val="0"/>
        <w:widowControl/>
        <w:suppressLineNumbers w:val="0"/>
        <w:shd w:val="clear" w:color="auto" w:fill="FFFFFF"/>
        <w:suppressAutoHyphens w:val="0"/>
        <w:spacing w:before="36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b/>
          <w:szCs w:val="20"/>
          <w:lang w:bidi="ar-SA"/>
        </w:rPr>
        <w:t>2) POTRZEBY OŚWIATOWE</w:t>
      </w:r>
      <w:r>
        <w:rPr>
          <w:rFonts w:eastAsia="Times New Roman" w:cs="Times New Roman"/>
          <w:szCs w:val="20"/>
          <w:lang w:bidi="ar-SA"/>
        </w:rPr>
        <w:t xml:space="preserve"> </w:t>
      </w:r>
    </w:p>
    <w:p>
      <w:pPr>
        <w:keepNext w:val="0"/>
        <w:keepLines w:val="0"/>
        <w:widowControl/>
        <w:suppressLineNumbers w:val="0"/>
        <w:shd w:val="clear" w:color="auto" w:fill="FFFFFF"/>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Potrzeby oświatowe na rok 2026 przyjęto zgodnie z informacją MF z dnia 14 października 2025 r., ustaloną na podstawie art. 26 w związku z art. 82 ust. 2 ustawy oraz rozporządzenia Ministra Edukacji z dnia 28 lipca 2025 r. w sprawie sposobu podziału łącznej kwoty potrzeb oświatowych miedzy jednostki samorządu terytorialnego w roku 2026.</w:t>
      </w:r>
    </w:p>
    <w:p>
      <w:pPr>
        <w:keepNext w:val="0"/>
        <w:keepLines w:val="0"/>
        <w:widowControl/>
        <w:suppressLineNumbers w:val="0"/>
        <w:shd w:val="clear" w:color="auto" w:fill="FFFFFF"/>
        <w:suppressAutoHyphens w:val="0"/>
        <w:spacing w:before="0" w:beforeAutospacing="0" w:after="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Na lata 2027-2029 kwotę potrzeb oświatowych przyjęto w wartościach:</w:t>
      </w:r>
    </w:p>
    <w:p>
      <w:pPr>
        <w:keepNext w:val="0"/>
        <w:keepLines w:val="0"/>
        <w:widowControl/>
        <w:numPr>
          <w:ilvl w:val="0"/>
          <w:numId w:val="4"/>
        </w:numPr>
        <w:suppressLineNumbers w:val="0"/>
        <w:shd w:val="clear" w:color="auto" w:fill="FFFFFF"/>
        <w:suppressAutoHyphens w:val="0"/>
        <w:spacing w:before="0" w:beforeAutospacing="0" w:after="120" w:afterAutospacing="0" w:line="240" w:lineRule="auto"/>
        <w:ind w:left="680" w:right="0" w:hanging="340"/>
        <w:contextualSpacing w:val="0"/>
        <w:jc w:val="both"/>
        <w:rPr>
          <w:rFonts w:eastAsia="Times New Roman" w:cs="Times New Roman"/>
          <w:szCs w:val="20"/>
          <w:lang w:bidi="ar-SA"/>
        </w:rPr>
      </w:pPr>
      <w:r>
        <w:rPr>
          <w:rFonts w:eastAsia="Times New Roman" w:cs="Times New Roman"/>
          <w:szCs w:val="20"/>
          <w:lang w:bidi="ar-SA"/>
        </w:rPr>
        <w:t>na rok 2027 według wartości potrzeb oświatowych na 2026 rok zwaloryzowanej o 11,91% tj. średni przyrost potrzeb oświatowych w roku 2026 do roku 2025 oraz w roku 2025 do łącznej kwoty stanowiącej sumę subwencji oświatowej i dotacji przedszkolnej uzyskanej przez miasto w roku 2024,</w:t>
      </w:r>
    </w:p>
    <w:p>
      <w:pPr>
        <w:keepNext w:val="0"/>
        <w:keepLines w:val="0"/>
        <w:widowControl/>
        <w:numPr>
          <w:ilvl w:val="0"/>
          <w:numId w:val="4"/>
        </w:numPr>
        <w:suppressLineNumbers w:val="0"/>
        <w:shd w:val="clear" w:color="auto" w:fill="FFFFFF"/>
        <w:suppressAutoHyphens w:val="0"/>
        <w:spacing w:before="0" w:beforeAutospacing="0" w:after="240" w:afterAutospacing="0" w:line="240" w:lineRule="auto"/>
        <w:ind w:left="697" w:right="0" w:hanging="340"/>
        <w:contextualSpacing w:val="0"/>
        <w:jc w:val="both"/>
        <w:rPr>
          <w:rFonts w:eastAsia="Times New Roman" w:cs="Times New Roman"/>
          <w:szCs w:val="20"/>
          <w:lang w:bidi="ar-SA"/>
        </w:rPr>
      </w:pPr>
      <w:r>
        <w:rPr>
          <w:rFonts w:eastAsia="Times New Roman" w:cs="Times New Roman"/>
          <w:szCs w:val="20"/>
          <w:lang w:bidi="ar-SA"/>
        </w:rPr>
        <w:t>na lata 2028-2029 według wartości potrzeb oświatowych z roku ubiegłego zwaloryzowanej o 10%, co jest realnym do osiągnięcia wzrostem bazując na przyrostach subwencji oświatowej oraz potrzeb oświatowych w ostatnich latach.</w:t>
      </w:r>
    </w:p>
    <w:p>
      <w:pPr>
        <w:keepNext w:val="0"/>
        <w:keepLines w:val="0"/>
        <w:widowControl/>
        <w:suppressLineNumbers w:val="0"/>
        <w:shd w:val="clear" w:color="auto" w:fill="FFFFFF"/>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Założenia prezentuje poniższa tabela:</w:t>
      </w:r>
    </w:p>
    <w:tbl>
      <w:tblPr>
        <w:tblStyle w:val="TableNormal"/>
        <w:tblW w:w="14171"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2629"/>
        <w:gridCol w:w="1368"/>
        <w:gridCol w:w="1402"/>
        <w:gridCol w:w="1457"/>
        <w:gridCol w:w="1467"/>
        <w:gridCol w:w="1457"/>
        <w:gridCol w:w="1457"/>
        <w:gridCol w:w="1457"/>
        <w:gridCol w:w="1457"/>
      </w:tblGrid>
      <w:tr>
        <w:tblPrEx>
          <w:tblW w:w="14171"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Ex>
        <w:trPr>
          <w:trHeight w:val="825"/>
        </w:trPr>
        <w:tc>
          <w:tcPr>
            <w:tcW w:w="2835"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p>
        </w:tc>
        <w:tc>
          <w:tcPr>
            <w:tcW w:w="1417"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2023</w:t>
            </w:r>
          </w:p>
        </w:tc>
        <w:tc>
          <w:tcPr>
            <w:tcW w:w="1417"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2024</w:t>
            </w:r>
          </w:p>
        </w:tc>
        <w:tc>
          <w:tcPr>
            <w:tcW w:w="1417"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potrzeby oświatowe 2025 wg metryczki</w:t>
            </w:r>
          </w:p>
        </w:tc>
        <w:tc>
          <w:tcPr>
            <w:tcW w:w="1417"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potrzeby oświatowe 2025 po aktualizacji</w:t>
            </w:r>
          </w:p>
        </w:tc>
        <w:tc>
          <w:tcPr>
            <w:tcW w:w="1417"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potrzeby oświatowe 2026</w:t>
            </w:r>
          </w:p>
        </w:tc>
        <w:tc>
          <w:tcPr>
            <w:tcW w:w="1417"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potrzeby oświatowe 2027</w:t>
            </w:r>
          </w:p>
        </w:tc>
        <w:tc>
          <w:tcPr>
            <w:tcW w:w="1417"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potrzeby oświatowe 2028</w:t>
            </w:r>
          </w:p>
        </w:tc>
        <w:tc>
          <w:tcPr>
            <w:tcW w:w="1417"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potrzeby oświatowe 2029</w:t>
            </w:r>
          </w:p>
        </w:tc>
      </w:tr>
      <w:tr>
        <w:tblPrEx>
          <w:tblW w:w="14171" w:type="dxa"/>
          <w:tblInd w:w="65" w:type="dxa"/>
          <w:tblCellMar>
            <w:left w:w="70" w:type="dxa"/>
            <w:right w:w="70" w:type="dxa"/>
          </w:tblCellMar>
          <w:tblLook w:val="04A0"/>
        </w:tblPrEx>
        <w:trPr>
          <w:trHeight w:val="283"/>
        </w:trPr>
        <w:tc>
          <w:tcPr>
            <w:tcW w:w="2835"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subwencja oświatowa</w:t>
            </w:r>
          </w:p>
        </w:tc>
        <w:tc>
          <w:tcPr>
            <w:tcW w:w="141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233 869 493</w:t>
            </w:r>
          </w:p>
        </w:tc>
        <w:tc>
          <w:tcPr>
            <w:tcW w:w="141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312 962 196</w:t>
            </w:r>
          </w:p>
        </w:tc>
        <w:tc>
          <w:tcPr>
            <w:tcW w:w="1417" w:type="dxa"/>
            <w:vMerge w:val="restart"/>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358 341 565</w:t>
            </w:r>
          </w:p>
        </w:tc>
        <w:tc>
          <w:tcPr>
            <w:tcW w:w="1417" w:type="dxa"/>
            <w:vMerge w:val="restart"/>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356 626 880</w:t>
            </w:r>
          </w:p>
        </w:tc>
        <w:tc>
          <w:tcPr>
            <w:tcW w:w="1417" w:type="dxa"/>
            <w:vMerge w:val="restart"/>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408 605 956</w:t>
            </w:r>
          </w:p>
        </w:tc>
        <w:tc>
          <w:tcPr>
            <w:tcW w:w="1417" w:type="dxa"/>
            <w:vMerge w:val="restart"/>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457 270 925</w:t>
            </w:r>
          </w:p>
        </w:tc>
        <w:tc>
          <w:tcPr>
            <w:tcW w:w="1417" w:type="dxa"/>
            <w:vMerge w:val="restart"/>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502 998 018</w:t>
            </w:r>
          </w:p>
        </w:tc>
        <w:tc>
          <w:tcPr>
            <w:tcW w:w="1417" w:type="dxa"/>
            <w:vMerge w:val="restart"/>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553 297 820</w:t>
            </w:r>
          </w:p>
        </w:tc>
      </w:tr>
      <w:tr>
        <w:tblPrEx>
          <w:tblW w:w="14171" w:type="dxa"/>
          <w:tblInd w:w="65" w:type="dxa"/>
          <w:tblCellMar>
            <w:left w:w="70" w:type="dxa"/>
            <w:right w:w="70" w:type="dxa"/>
          </w:tblCellMar>
          <w:tblLook w:val="04A0"/>
        </w:tblPrEx>
        <w:trPr>
          <w:trHeight w:val="283"/>
        </w:trPr>
        <w:tc>
          <w:tcPr>
            <w:tcW w:w="2835"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dotacja przedszkolna</w:t>
            </w:r>
          </w:p>
        </w:tc>
        <w:tc>
          <w:tcPr>
            <w:tcW w:w="141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6 002 164</w:t>
            </w:r>
          </w:p>
        </w:tc>
        <w:tc>
          <w:tcPr>
            <w:tcW w:w="141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13 495 016</w:t>
            </w:r>
          </w:p>
        </w:tc>
        <w:tc>
          <w:tcPr>
            <w:tcW w:w="1417" w:type="dxa"/>
            <w:vMerge/>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p>
        </w:tc>
        <w:tc>
          <w:tcPr>
            <w:tcW w:w="1417" w:type="dxa"/>
            <w:vMerge/>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p>
        </w:tc>
        <w:tc>
          <w:tcPr>
            <w:tcW w:w="1417" w:type="dxa"/>
            <w:vMerge/>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p>
        </w:tc>
        <w:tc>
          <w:tcPr>
            <w:tcW w:w="1417" w:type="dxa"/>
            <w:vMerge/>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p>
        </w:tc>
        <w:tc>
          <w:tcPr>
            <w:tcW w:w="1417" w:type="dxa"/>
            <w:vMerge/>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p>
        </w:tc>
        <w:tc>
          <w:tcPr>
            <w:tcW w:w="1417" w:type="dxa"/>
            <w:vMerge/>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p>
        </w:tc>
      </w:tr>
      <w:tr>
        <w:tblPrEx>
          <w:tblW w:w="14171" w:type="dxa"/>
          <w:tblInd w:w="65" w:type="dxa"/>
          <w:tblCellMar>
            <w:left w:w="70" w:type="dxa"/>
            <w:right w:w="70" w:type="dxa"/>
          </w:tblCellMar>
          <w:tblLook w:val="04A0"/>
        </w:tblPrEx>
        <w:trPr>
          <w:trHeight w:val="283"/>
        </w:trPr>
        <w:tc>
          <w:tcPr>
            <w:tcW w:w="2835"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razem</w:t>
            </w:r>
          </w:p>
        </w:tc>
        <w:tc>
          <w:tcPr>
            <w:tcW w:w="141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239 871 657</w:t>
            </w:r>
          </w:p>
        </w:tc>
        <w:tc>
          <w:tcPr>
            <w:tcW w:w="141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326 457 212</w:t>
            </w:r>
          </w:p>
        </w:tc>
        <w:tc>
          <w:tcPr>
            <w:tcW w:w="141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358 341 565</w:t>
            </w:r>
          </w:p>
        </w:tc>
        <w:tc>
          <w:tcPr>
            <w:tcW w:w="141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356 626 880</w:t>
            </w:r>
          </w:p>
        </w:tc>
        <w:tc>
          <w:tcPr>
            <w:tcW w:w="141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408 605 956</w:t>
            </w:r>
          </w:p>
        </w:tc>
        <w:tc>
          <w:tcPr>
            <w:tcW w:w="141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457 270 925</w:t>
            </w:r>
          </w:p>
        </w:tc>
        <w:tc>
          <w:tcPr>
            <w:tcW w:w="141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502 998 018</w:t>
            </w:r>
          </w:p>
        </w:tc>
        <w:tc>
          <w:tcPr>
            <w:tcW w:w="141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553 297 820</w:t>
            </w:r>
          </w:p>
        </w:tc>
      </w:tr>
      <w:tr>
        <w:tblPrEx>
          <w:tblW w:w="14171" w:type="dxa"/>
          <w:tblInd w:w="65" w:type="dxa"/>
          <w:tblCellMar>
            <w:left w:w="70" w:type="dxa"/>
            <w:right w:w="70" w:type="dxa"/>
          </w:tblCellMar>
          <w:tblLook w:val="04A0"/>
        </w:tblPrEx>
        <w:trPr>
          <w:trHeight w:val="283"/>
        </w:trPr>
        <w:tc>
          <w:tcPr>
            <w:tcW w:w="2835" w:type="dxa"/>
            <w:vMerge w:val="restart"/>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przyrost względem poprzedniego roku</w:t>
            </w:r>
          </w:p>
        </w:tc>
        <w:tc>
          <w:tcPr>
            <w:tcW w:w="141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kwota</w:t>
            </w:r>
          </w:p>
        </w:tc>
        <w:tc>
          <w:tcPr>
            <w:tcW w:w="141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86 585 555</w:t>
            </w:r>
          </w:p>
        </w:tc>
        <w:tc>
          <w:tcPr>
            <w:tcW w:w="141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31 884 353</w:t>
            </w:r>
          </w:p>
        </w:tc>
        <w:tc>
          <w:tcPr>
            <w:tcW w:w="141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30 169 668</w:t>
            </w:r>
          </w:p>
        </w:tc>
        <w:tc>
          <w:tcPr>
            <w:tcW w:w="141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51 979 076</w:t>
            </w:r>
          </w:p>
        </w:tc>
        <w:tc>
          <w:tcPr>
            <w:tcW w:w="141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48 664 969</w:t>
            </w:r>
          </w:p>
        </w:tc>
        <w:tc>
          <w:tcPr>
            <w:tcW w:w="141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45 727 093</w:t>
            </w:r>
          </w:p>
        </w:tc>
        <w:tc>
          <w:tcPr>
            <w:tcW w:w="141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50 299 802</w:t>
            </w:r>
          </w:p>
        </w:tc>
      </w:tr>
      <w:tr>
        <w:tblPrEx>
          <w:tblW w:w="14171" w:type="dxa"/>
          <w:tblInd w:w="65" w:type="dxa"/>
          <w:tblCellMar>
            <w:left w:w="70" w:type="dxa"/>
            <w:right w:w="70" w:type="dxa"/>
          </w:tblCellMar>
          <w:tblLook w:val="04A0"/>
        </w:tblPrEx>
        <w:trPr>
          <w:trHeight w:val="283"/>
        </w:trPr>
        <w:tc>
          <w:tcPr>
            <w:tcW w:w="2835" w:type="dxa"/>
            <w:vMerge/>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p>
        </w:tc>
        <w:tc>
          <w:tcPr>
            <w:tcW w:w="141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w:t>
            </w:r>
          </w:p>
        </w:tc>
        <w:tc>
          <w:tcPr>
            <w:tcW w:w="141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36,10%</w:t>
            </w:r>
          </w:p>
        </w:tc>
        <w:tc>
          <w:tcPr>
            <w:tcW w:w="141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9,77%</w:t>
            </w:r>
          </w:p>
        </w:tc>
        <w:tc>
          <w:tcPr>
            <w:tcW w:w="141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9,24%</w:t>
            </w:r>
          </w:p>
        </w:tc>
        <w:tc>
          <w:tcPr>
            <w:tcW w:w="141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14,58%</w:t>
            </w:r>
          </w:p>
        </w:tc>
        <w:tc>
          <w:tcPr>
            <w:tcW w:w="141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11,91%</w:t>
            </w:r>
          </w:p>
        </w:tc>
        <w:tc>
          <w:tcPr>
            <w:tcW w:w="141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10,00%</w:t>
            </w:r>
          </w:p>
        </w:tc>
        <w:tc>
          <w:tcPr>
            <w:tcW w:w="1417"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10,00%</w:t>
            </w:r>
          </w:p>
        </w:tc>
      </w:tr>
    </w:tbl>
    <w:p>
      <w:pPr>
        <w:keepNext w:val="0"/>
        <w:keepLines w:val="0"/>
        <w:widowControl/>
        <w:suppressLineNumbers w:val="0"/>
        <w:shd w:val="clear" w:color="auto" w:fill="auto"/>
        <w:suppressAutoHyphens w:val="0"/>
        <w:spacing w:before="24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Warto podkreślić, że metodologia wyliczania potrzeb oświatowych od roku 2025 świadczy o tym, iż środki otrzymywane przez samorządy są niewystarczające na realizację nałożonych na nie zadań w tym zakresie. Wyliczone potrzeby oświatowe winny odzwierciedlać faktyczne potrzeby jst. W rzeczywistości jednak wyliczona kwota potrzeb oświatowych pokrywa tylko częściowo wydatki ponoszone przez samorządy, wskazując z roku na rok na konieczność dopłacania przez samorządy coraz większych kwot związanych z utrzymaniem oświaty. Nie bez znaczenia jest fakt, że kalkulowane potrzeby oświatowe na rok 2026 są niższe od wykonania wydatków Bytomia w zakresie oświaty i wychowania na koniec III kwartału 2025 r., które wynoszą 434 297 799,42 zł.</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 xml:space="preserve">Problem dodatkowo potęguje niezależny od decyzji samorządów wzrost płacy minimalnej, który ma wpływ na regulacje płac pracowników administracji i obsługi zatrudnionych w placówkach oświatowych oraz zmiany w trakcie roku rozporządzenia w sprawie wynagradzania pracowników samorządowych. Otrzymywane z budżetu państwa środki w żaden sposób nie rekompensują skutków podwyżek tych grup zawodowych. </w:t>
      </w:r>
    </w:p>
    <w:p>
      <w:pPr>
        <w:keepNext w:val="0"/>
        <w:keepLines w:val="0"/>
        <w:widowControl/>
        <w:suppressLineNumbers w:val="0"/>
        <w:shd w:val="clear" w:color="auto" w:fill="auto"/>
        <w:suppressAutoHyphens w:val="0"/>
        <w:spacing w:before="240" w:beforeAutospacing="0" w:after="240" w:afterAutospacing="0" w:line="240" w:lineRule="auto"/>
        <w:ind w:left="0" w:right="0" w:firstLine="0"/>
        <w:contextualSpacing w:val="0"/>
        <w:jc w:val="both"/>
        <w:rPr>
          <w:rFonts w:eastAsia="Times New Roman" w:cs="Times New Roman"/>
          <w:b/>
          <w:szCs w:val="20"/>
          <w:lang w:bidi="ar-SA"/>
        </w:rPr>
      </w:pPr>
      <w:r>
        <w:rPr>
          <w:rFonts w:eastAsia="Times New Roman" w:cs="Times New Roman"/>
          <w:b/>
          <w:szCs w:val="20"/>
          <w:lang w:bidi="ar-SA"/>
        </w:rPr>
        <w:t xml:space="preserve">3) POTRZEBY ROZWOJOWE </w:t>
      </w:r>
    </w:p>
    <w:p>
      <w:pPr>
        <w:keepNext w:val="0"/>
        <w:keepLines w:val="0"/>
        <w:widowControl/>
        <w:suppressLineNumbers w:val="0"/>
        <w:shd w:val="clear" w:color="auto" w:fill="FFFFFF"/>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Potrzeby rozwojowe dla Bytomia wyliczono zgodnie z art. 28 ustawy o dochodach jst. Na rok 2026 zweryfikowano metodologię i przyjęto kwoty wyliczone przez MF w zakresie części podstawowej i inwestycyjnej.</w:t>
      </w:r>
    </w:p>
    <w:p>
      <w:pPr>
        <w:keepNext w:val="0"/>
        <w:keepLines w:val="0"/>
        <w:widowControl/>
        <w:suppressLineNumbers w:val="0"/>
        <w:shd w:val="clear" w:color="auto" w:fill="FFFFFF"/>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 xml:space="preserve">Część podstawowa potrzeb rozwojowych dla Bytomia została ustalona proporcjonalnie do ilości mieszkańców. Obliczono kwotę części podstawowej potrzeb na 1 mieszkańca miasta na prawach powiatu (iloraz części podstawowej dla wszystkich miast na prawach powiatu i liczby mieszkańców wszystkich miast na prawach powiatu) i przemnożono przez liczbę mieszkańców Bytomia w roku bazowym, tj. 2024. </w:t>
      </w:r>
    </w:p>
    <w:p>
      <w:pPr>
        <w:keepNext w:val="0"/>
        <w:keepLines w:val="0"/>
        <w:widowControl/>
        <w:suppressLineNumbers w:val="0"/>
        <w:shd w:val="clear" w:color="auto" w:fill="FFFFFF"/>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Szczegóły prezentuje poniższa tabela:</w:t>
      </w:r>
    </w:p>
    <w:tbl>
      <w:tblPr>
        <w:tblStyle w:val="TableNormal"/>
        <w:tblW w:w="14580" w:type="dxa"/>
        <w:tblInd w:w="65" w:type="dxa"/>
        <w:tblCellMar>
          <w:left w:w="70" w:type="dxa"/>
          <w:right w:w="70" w:type="dxa"/>
        </w:tblCellMar>
        <w:tblLook w:val="04A0"/>
      </w:tblPr>
      <w:tblGrid>
        <w:gridCol w:w="1007"/>
        <w:gridCol w:w="1602"/>
        <w:gridCol w:w="1594"/>
        <w:gridCol w:w="1616"/>
        <w:gridCol w:w="1915"/>
        <w:gridCol w:w="1936"/>
        <w:gridCol w:w="1951"/>
        <w:gridCol w:w="1421"/>
        <w:gridCol w:w="1540"/>
      </w:tblGrid>
      <w:tr>
        <w:tblPrEx>
          <w:tblW w:w="14580" w:type="dxa"/>
          <w:tblInd w:w="65" w:type="dxa"/>
          <w:tblCellMar>
            <w:left w:w="70" w:type="dxa"/>
            <w:right w:w="70" w:type="dxa"/>
          </w:tblCellMar>
          <w:tblLook w:val="04A0"/>
        </w:tblPrEx>
        <w:trPr>
          <w:trHeight w:val="283"/>
        </w:trPr>
        <w:tc>
          <w:tcPr>
            <w:tcW w:w="998" w:type="dxa"/>
            <w:vMerge w:val="restart"/>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Rok</w:t>
            </w:r>
          </w:p>
        </w:tc>
        <w:tc>
          <w:tcPr>
            <w:tcW w:w="6662" w:type="dxa"/>
            <w:gridSpan w:val="4"/>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MNPP</w:t>
            </w:r>
          </w:p>
        </w:tc>
        <w:tc>
          <w:tcPr>
            <w:tcW w:w="6920" w:type="dxa"/>
            <w:gridSpan w:val="4"/>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BYTOM</w:t>
            </w:r>
          </w:p>
        </w:tc>
      </w:tr>
      <w:tr>
        <w:tblPrEx>
          <w:tblW w:w="14580" w:type="dxa"/>
          <w:tblInd w:w="65" w:type="dxa"/>
          <w:tblCellMar>
            <w:left w:w="70" w:type="dxa"/>
            <w:right w:w="70" w:type="dxa"/>
          </w:tblCellMar>
          <w:tblLook w:val="04A0"/>
        </w:tblPrEx>
        <w:trPr>
          <w:trHeight w:val="283"/>
        </w:trPr>
        <w:tc>
          <w:tcPr>
            <w:tcW w:w="998" w:type="dxa"/>
            <w:vMerge/>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p>
        </w:tc>
        <w:tc>
          <w:tcPr>
            <w:tcW w:w="1559" w:type="dxa"/>
            <w:vMerge w:val="restart"/>
            <w:tcBorders>
              <w:top w:val="nil"/>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 xml:space="preserve">Suma potrzeb rozwojowych MNPP zgodnie z tabelą MF </w:t>
            </w:r>
          </w:p>
        </w:tc>
        <w:tc>
          <w:tcPr>
            <w:tcW w:w="1559" w:type="dxa"/>
            <w:vMerge w:val="restart"/>
            <w:tcBorders>
              <w:top w:val="nil"/>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Część podstawowa 60%</w:t>
            </w:r>
          </w:p>
        </w:tc>
        <w:tc>
          <w:tcPr>
            <w:tcW w:w="1559" w:type="dxa"/>
            <w:vMerge w:val="restart"/>
            <w:tcBorders>
              <w:top w:val="nil"/>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Ilość mieszkańców MNPP wg informacji MF (suma)</w:t>
            </w:r>
          </w:p>
        </w:tc>
        <w:tc>
          <w:tcPr>
            <w:tcW w:w="1985" w:type="dxa"/>
            <w:vMerge w:val="restart"/>
            <w:tcBorders>
              <w:top w:val="nil"/>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Potrzeba rozwojowa podstawowa na 1 mieszkańca MNPP</w:t>
            </w:r>
          </w:p>
        </w:tc>
        <w:tc>
          <w:tcPr>
            <w:tcW w:w="1984" w:type="dxa"/>
            <w:vMerge w:val="restart"/>
            <w:tcBorders>
              <w:top w:val="nil"/>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Liczba mieszkańców Bytomia w roku bazowym</w:t>
            </w:r>
          </w:p>
        </w:tc>
        <w:tc>
          <w:tcPr>
            <w:tcW w:w="4936" w:type="dxa"/>
            <w:gridSpan w:val="3"/>
            <w:tcBorders>
              <w:top w:val="single" w:sz="4" w:space="0" w:color="auto"/>
              <w:left w:val="nil"/>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 xml:space="preserve"> Część podstawowa należna miastu Bytom </w:t>
            </w:r>
          </w:p>
        </w:tc>
      </w:tr>
      <w:tr>
        <w:tblPrEx>
          <w:tblW w:w="14580" w:type="dxa"/>
          <w:tblInd w:w="65" w:type="dxa"/>
          <w:tblCellMar>
            <w:left w:w="70" w:type="dxa"/>
            <w:right w:w="70" w:type="dxa"/>
          </w:tblCellMar>
          <w:tblLook w:val="04A0"/>
        </w:tblPrEx>
        <w:trPr>
          <w:trHeight w:val="283"/>
        </w:trPr>
        <w:tc>
          <w:tcPr>
            <w:tcW w:w="998" w:type="dxa"/>
            <w:vMerge/>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p>
        </w:tc>
        <w:tc>
          <w:tcPr>
            <w:tcW w:w="1559" w:type="dxa"/>
            <w:vMerge/>
            <w:tcBorders>
              <w:top w:val="nil"/>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p>
        </w:tc>
        <w:tc>
          <w:tcPr>
            <w:tcW w:w="1559" w:type="dxa"/>
            <w:vMerge/>
            <w:tcBorders>
              <w:top w:val="nil"/>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p>
        </w:tc>
        <w:tc>
          <w:tcPr>
            <w:tcW w:w="1559" w:type="dxa"/>
            <w:vMerge/>
            <w:tcBorders>
              <w:top w:val="nil"/>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p>
        </w:tc>
        <w:tc>
          <w:tcPr>
            <w:tcW w:w="1985" w:type="dxa"/>
            <w:vMerge/>
            <w:tcBorders>
              <w:top w:val="nil"/>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p>
        </w:tc>
        <w:tc>
          <w:tcPr>
            <w:tcW w:w="1984" w:type="dxa"/>
            <w:vMerge/>
            <w:tcBorders>
              <w:top w:val="nil"/>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p>
        </w:tc>
        <w:tc>
          <w:tcPr>
            <w:tcW w:w="1985" w:type="dxa"/>
            <w:tcBorders>
              <w:top w:val="nil"/>
              <w:left w:val="nil"/>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Kwota wg wzoru (potrzeba per capita * liczba mieszkańców)</w:t>
            </w:r>
          </w:p>
        </w:tc>
        <w:tc>
          <w:tcPr>
            <w:tcW w:w="1417" w:type="dxa"/>
            <w:tcBorders>
              <w:top w:val="nil"/>
              <w:left w:val="nil"/>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 xml:space="preserve"> Kwota potrzeb wg informacji MF </w:t>
            </w:r>
          </w:p>
        </w:tc>
        <w:tc>
          <w:tcPr>
            <w:tcW w:w="1534" w:type="dxa"/>
            <w:tcBorders>
              <w:top w:val="nil"/>
              <w:left w:val="nil"/>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 xml:space="preserve">Różnica wynikająca z zaokrągleń oraz art. 28 ust.4 pkt 2 ustawy o DJST </w:t>
            </w:r>
          </w:p>
        </w:tc>
      </w:tr>
      <w:tr>
        <w:tblPrEx>
          <w:tblW w:w="14580" w:type="dxa"/>
          <w:tblInd w:w="65" w:type="dxa"/>
          <w:tblCellMar>
            <w:left w:w="70" w:type="dxa"/>
            <w:right w:w="70" w:type="dxa"/>
          </w:tblCellMar>
          <w:tblLook w:val="04A0"/>
        </w:tblPrEx>
        <w:trPr>
          <w:trHeight w:val="283"/>
        </w:trPr>
        <w:tc>
          <w:tcPr>
            <w:tcW w:w="998" w:type="dxa"/>
            <w:tcBorders>
              <w:top w:val="nil"/>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2025</w:t>
            </w:r>
          </w:p>
        </w:tc>
        <w:tc>
          <w:tcPr>
            <w:tcW w:w="1559" w:type="dxa"/>
            <w:tcBorders>
              <w:top w:val="nil"/>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2 840 952 422</w:t>
            </w:r>
          </w:p>
        </w:tc>
        <w:tc>
          <w:tcPr>
            <w:tcW w:w="1559" w:type="dxa"/>
            <w:tcBorders>
              <w:top w:val="nil"/>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1 704 571 453</w:t>
            </w:r>
          </w:p>
        </w:tc>
        <w:tc>
          <w:tcPr>
            <w:tcW w:w="1559" w:type="dxa"/>
            <w:tcBorders>
              <w:top w:val="nil"/>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12 308 191</w:t>
            </w:r>
          </w:p>
        </w:tc>
        <w:tc>
          <w:tcPr>
            <w:tcW w:w="1985" w:type="dxa"/>
            <w:tcBorders>
              <w:top w:val="nil"/>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138,49</w:t>
            </w:r>
          </w:p>
        </w:tc>
        <w:tc>
          <w:tcPr>
            <w:tcW w:w="1984" w:type="dxa"/>
            <w:tcBorders>
              <w:top w:val="nil"/>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147 759</w:t>
            </w:r>
          </w:p>
        </w:tc>
        <w:tc>
          <w:tcPr>
            <w:tcW w:w="1985" w:type="dxa"/>
            <w:tcBorders>
              <w:top w:val="nil"/>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20 463 144</w:t>
            </w:r>
          </w:p>
        </w:tc>
        <w:tc>
          <w:tcPr>
            <w:tcW w:w="1417" w:type="dxa"/>
            <w:tcBorders>
              <w:top w:val="nil"/>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20 382 843</w:t>
            </w:r>
          </w:p>
        </w:tc>
        <w:tc>
          <w:tcPr>
            <w:tcW w:w="1534" w:type="dxa"/>
            <w:tcBorders>
              <w:top w:val="nil"/>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80 301</w:t>
            </w:r>
          </w:p>
        </w:tc>
      </w:tr>
      <w:tr>
        <w:tblPrEx>
          <w:tblW w:w="14580" w:type="dxa"/>
          <w:tblInd w:w="65" w:type="dxa"/>
          <w:tblCellMar>
            <w:left w:w="70" w:type="dxa"/>
            <w:right w:w="70" w:type="dxa"/>
          </w:tblCellMar>
          <w:tblLook w:val="04A0"/>
        </w:tblPrEx>
        <w:trPr>
          <w:trHeight w:val="283"/>
        </w:trPr>
        <w:tc>
          <w:tcPr>
            <w:tcW w:w="998" w:type="dxa"/>
            <w:tcBorders>
              <w:top w:val="nil"/>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2026</w:t>
            </w:r>
          </w:p>
        </w:tc>
        <w:tc>
          <w:tcPr>
            <w:tcW w:w="1559" w:type="dxa"/>
            <w:tcBorders>
              <w:top w:val="nil"/>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2 830 229 384</w:t>
            </w:r>
          </w:p>
        </w:tc>
        <w:tc>
          <w:tcPr>
            <w:tcW w:w="1559" w:type="dxa"/>
            <w:tcBorders>
              <w:top w:val="nil"/>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1 704 571 460</w:t>
            </w:r>
          </w:p>
        </w:tc>
        <w:tc>
          <w:tcPr>
            <w:tcW w:w="1559" w:type="dxa"/>
            <w:tcBorders>
              <w:top w:val="nil"/>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12 250 830</w:t>
            </w:r>
          </w:p>
        </w:tc>
        <w:tc>
          <w:tcPr>
            <w:tcW w:w="1985" w:type="dxa"/>
            <w:tcBorders>
              <w:top w:val="nil"/>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139,14</w:t>
            </w:r>
          </w:p>
        </w:tc>
        <w:tc>
          <w:tcPr>
            <w:tcW w:w="1984" w:type="dxa"/>
            <w:tcBorders>
              <w:top w:val="nil"/>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146 290</w:t>
            </w:r>
          </w:p>
        </w:tc>
        <w:tc>
          <w:tcPr>
            <w:tcW w:w="1985" w:type="dxa"/>
            <w:tcBorders>
              <w:top w:val="nil"/>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20 354 791</w:t>
            </w:r>
          </w:p>
        </w:tc>
        <w:tc>
          <w:tcPr>
            <w:tcW w:w="1417" w:type="dxa"/>
            <w:tcBorders>
              <w:top w:val="nil"/>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20 272 315</w:t>
            </w:r>
          </w:p>
        </w:tc>
        <w:tc>
          <w:tcPr>
            <w:tcW w:w="1534" w:type="dxa"/>
            <w:tcBorders>
              <w:top w:val="nil"/>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82 476</w:t>
            </w:r>
          </w:p>
        </w:tc>
      </w:tr>
    </w:tbl>
    <w:p>
      <w:pPr>
        <w:keepNext w:val="0"/>
        <w:keepLines w:val="0"/>
        <w:widowControl/>
        <w:suppressLineNumbers w:val="0"/>
        <w:shd w:val="clear" w:color="auto" w:fill="auto"/>
        <w:suppressAutoHyphens w:val="0"/>
        <w:spacing w:before="24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 xml:space="preserve">Różnice w wyliczeniu proporcjonalnym części podstawowej potrzeb rozwojowych z przyznanymi przez MF kwotami wynikają z zastosowania przepisów art. 28 ust. 4 pkt 2 ustawy o dochodach jednostek samorządu terytorialnego, które wskazują, że kwota części podstawowej potrzeb rozwojowych nie może być mniejsza niż 0,4% kwoty podstawowej potrzeb dla wszystkich MNPP. W 2026 r. część podstawowa potrzeb rozwojowych wszystkich MNPP zgodnie z danymi udostępnionymi przez MF wynosi 1 704 571 460 zł, z czego 0,4% to kwota 6 818 286 zł. W roku 2026 siedmiu MNPP przyznano wartości części podstawowej potrzeb rozwojowych w kwocie 6 818 286 zł, tj. wyższej aniżeli wynikało z wyliczeń proporcjonalnych do liczby mieszkańców tych miast. </w:t>
      </w:r>
    </w:p>
    <w:p>
      <w:pPr>
        <w:keepNext w:val="0"/>
        <w:keepLines w:val="0"/>
        <w:widowControl/>
        <w:suppressLineNumbers w:val="0"/>
        <w:shd w:val="clear" w:color="auto" w:fill="auto"/>
        <w:suppressAutoHyphens w:val="0"/>
        <w:spacing w:before="24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 xml:space="preserve">Część inwestycyjną potrzeb rozwojowych, stanowiącą 40% łącznych potrzeb rozwojowych wszystkich MNPP, wyliczono na 2026 rok proporcjonalnie do udziału przeliczeniowych wydatków majątkowych Bytomia w poszczególnych latach w przeliczeniowych wydatkach majątkowych wszystkich MNPP. </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 xml:space="preserve">Wartości przeliczeniowych wydatków majątkowych Bytomia na rok 2026 oparto o dane z wykonania wydatków majątkowych w latach 2022-2024, z podziałem na wydatki własne, współfinansowane środkami, o których mowa w </w:t>
      </w:r>
      <w:hyperlink r:id="rId10" w:anchor="/document/17569559?unitId=art(5)ust(1)pkt(2)&amp;cm=DOCUMENT" w:tgtFrame="_blank" w:history="1">
        <w:r>
          <w:rPr>
            <w:rFonts w:eastAsia="Times New Roman" w:cs="Times New Roman"/>
            <w:szCs w:val="20"/>
            <w:lang w:bidi="ar-SA"/>
          </w:rPr>
          <w:t>art. 5 ust. 1 pkt 2</w:t>
        </w:r>
      </w:hyperlink>
      <w:r>
        <w:rPr>
          <w:rFonts w:eastAsia="Times New Roman" w:cs="Times New Roman"/>
          <w:szCs w:val="20"/>
          <w:lang w:bidi="ar-SA"/>
        </w:rPr>
        <w:t xml:space="preserve"> i </w:t>
      </w:r>
      <w:hyperlink r:id="rId10" w:anchor="/document/17569559?unitId=art(5)ust(1)pkt(3)&amp;cm=DOCUMENT" w:tgtFrame="_blank" w:history="1">
        <w:r>
          <w:rPr>
            <w:rFonts w:eastAsia="Times New Roman" w:cs="Times New Roman"/>
            <w:szCs w:val="20"/>
            <w:lang w:bidi="ar-SA"/>
          </w:rPr>
          <w:t>3</w:t>
        </w:r>
      </w:hyperlink>
      <w:r>
        <w:rPr>
          <w:rFonts w:eastAsia="Times New Roman" w:cs="Times New Roman"/>
          <w:szCs w:val="20"/>
          <w:lang w:bidi="ar-SA"/>
        </w:rPr>
        <w:t xml:space="preserve"> ustawy o finansach publicznych oraz pozostałe wydatki majątkowe, z zastosowaniem wag określonych w rozporządzeniu Ministra Finansów i Gospodarki z dnia 31 lipca 2025 r. w sprawie poziomu wag przypisanych do wydatków majątkowych jednostek samorządu terytorialnego. Natomiast wartość przeliczeniowych wydatków majątkowych wszystkich miast na prawach powiatu przyjęto zgodnie z danymi udostępnionymi przez MF zastosowanymi do obliczenia potrzeb rozwojowych na rok 2026.</w:t>
      </w:r>
    </w:p>
    <w:tbl>
      <w:tblPr>
        <w:tblStyle w:val="TableNormal"/>
        <w:tblW w:w="14845" w:type="dxa"/>
        <w:tblInd w:w="60" w:type="dxa"/>
        <w:tblCellMar>
          <w:left w:w="70" w:type="dxa"/>
          <w:right w:w="70" w:type="dxa"/>
        </w:tblCellMar>
        <w:tblLook w:val="04A0"/>
      </w:tblPr>
      <w:tblGrid>
        <w:gridCol w:w="516"/>
        <w:gridCol w:w="357"/>
        <w:gridCol w:w="961"/>
        <w:gridCol w:w="1227"/>
        <w:gridCol w:w="737"/>
        <w:gridCol w:w="136"/>
        <w:gridCol w:w="520"/>
        <w:gridCol w:w="15"/>
        <w:gridCol w:w="1382"/>
        <w:gridCol w:w="1167"/>
        <w:gridCol w:w="1189"/>
        <w:gridCol w:w="645"/>
        <w:gridCol w:w="1348"/>
        <w:gridCol w:w="1280"/>
        <w:gridCol w:w="1205"/>
        <w:gridCol w:w="709"/>
        <w:gridCol w:w="1451"/>
      </w:tblGrid>
      <w:tr>
        <w:tblPrEx>
          <w:tblW w:w="14845" w:type="dxa"/>
          <w:tblInd w:w="60" w:type="dxa"/>
          <w:tblCellMar>
            <w:left w:w="70" w:type="dxa"/>
            <w:right w:w="70" w:type="dxa"/>
          </w:tblCellMar>
          <w:tblLook w:val="04A0"/>
        </w:tblPrEx>
        <w:trPr>
          <w:trHeight w:val="227"/>
        </w:trPr>
        <w:tc>
          <w:tcPr>
            <w:tcW w:w="580" w:type="dxa"/>
            <w:vMerge w:val="restart"/>
            <w:tcBorders>
              <w:top w:val="single" w:sz="4" w:space="0" w:color="auto"/>
              <w:left w:val="single" w:sz="4" w:space="0" w:color="auto"/>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ROK</w:t>
            </w:r>
          </w:p>
        </w:tc>
        <w:tc>
          <w:tcPr>
            <w:tcW w:w="1304" w:type="dxa"/>
            <w:gridSpan w:val="2"/>
            <w:vMerge w:val="restart"/>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Wydatki majątkowe ogółem</w:t>
            </w:r>
          </w:p>
        </w:tc>
        <w:tc>
          <w:tcPr>
            <w:tcW w:w="4200" w:type="dxa"/>
            <w:gridSpan w:val="6"/>
            <w:tcBorders>
              <w:top w:val="single" w:sz="4" w:space="0" w:color="auto"/>
              <w:left w:val="nil"/>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 xml:space="preserve">Wydatki majątkowe własne </w:t>
            </w:r>
          </w:p>
        </w:tc>
        <w:tc>
          <w:tcPr>
            <w:tcW w:w="4185" w:type="dxa"/>
            <w:gridSpan w:val="4"/>
            <w:tcBorders>
              <w:top w:val="single" w:sz="4" w:space="0" w:color="auto"/>
              <w:left w:val="nil"/>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 xml:space="preserve"> Wydatki majątkowe na programy finansowane z udziałem środków UE </w:t>
            </w:r>
          </w:p>
        </w:tc>
        <w:tc>
          <w:tcPr>
            <w:tcW w:w="4576" w:type="dxa"/>
            <w:gridSpan w:val="4"/>
            <w:tcBorders>
              <w:top w:val="single" w:sz="4" w:space="0" w:color="auto"/>
              <w:left w:val="nil"/>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 xml:space="preserve"> Pozostałe wydatki majątkowe </w:t>
            </w:r>
          </w:p>
        </w:tc>
      </w:tr>
      <w:tr>
        <w:tblPrEx>
          <w:tblW w:w="14845" w:type="dxa"/>
          <w:tblInd w:w="60" w:type="dxa"/>
          <w:tblCellMar>
            <w:left w:w="70" w:type="dxa"/>
            <w:right w:w="70" w:type="dxa"/>
          </w:tblCellMar>
          <w:tblLook w:val="04A0"/>
        </w:tblPrEx>
        <w:trPr>
          <w:trHeight w:val="227"/>
        </w:trPr>
        <w:tc>
          <w:tcPr>
            <w:tcW w:w="580" w:type="dxa"/>
            <w:vMerge/>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p>
        </w:tc>
        <w:tc>
          <w:tcPr>
            <w:tcW w:w="1304" w:type="dxa"/>
            <w:gridSpan w:val="2"/>
            <w:vMerge/>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p>
        </w:tc>
        <w:tc>
          <w:tcPr>
            <w:tcW w:w="1275" w:type="dxa"/>
            <w:tcBorders>
              <w:top w:val="single" w:sz="4" w:space="0" w:color="auto"/>
              <w:left w:val="nil"/>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Kwota</w:t>
            </w:r>
          </w:p>
        </w:tc>
        <w:tc>
          <w:tcPr>
            <w:tcW w:w="1053" w:type="dxa"/>
            <w:tcBorders>
              <w:top w:val="single" w:sz="4" w:space="0" w:color="auto"/>
              <w:left w:val="nil"/>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Kwota średnia*</w:t>
            </w:r>
          </w:p>
        </w:tc>
        <w:tc>
          <w:tcPr>
            <w:tcW w:w="556" w:type="dxa"/>
            <w:gridSpan w:val="2"/>
            <w:tcBorders>
              <w:top w:val="single" w:sz="4" w:space="0" w:color="auto"/>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waga</w:t>
            </w:r>
          </w:p>
        </w:tc>
        <w:tc>
          <w:tcPr>
            <w:tcW w:w="1316" w:type="dxa"/>
            <w:gridSpan w:val="2"/>
            <w:tcBorders>
              <w:top w:val="single" w:sz="4" w:space="0" w:color="auto"/>
              <w:left w:val="nil"/>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 xml:space="preserve"> przeliczeniowe </w:t>
            </w:r>
          </w:p>
        </w:tc>
        <w:tc>
          <w:tcPr>
            <w:tcW w:w="1195" w:type="dxa"/>
            <w:tcBorders>
              <w:top w:val="single" w:sz="4" w:space="0" w:color="auto"/>
              <w:left w:val="nil"/>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Kwota</w:t>
            </w:r>
          </w:p>
        </w:tc>
        <w:tc>
          <w:tcPr>
            <w:tcW w:w="1194" w:type="dxa"/>
            <w:tcBorders>
              <w:top w:val="single" w:sz="4" w:space="0" w:color="auto"/>
              <w:left w:val="nil"/>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Kwota średnia*</w:t>
            </w:r>
          </w:p>
        </w:tc>
        <w:tc>
          <w:tcPr>
            <w:tcW w:w="541" w:type="dxa"/>
            <w:tcBorders>
              <w:top w:val="single" w:sz="4" w:space="0" w:color="auto"/>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waga</w:t>
            </w:r>
          </w:p>
        </w:tc>
        <w:tc>
          <w:tcPr>
            <w:tcW w:w="1255" w:type="dxa"/>
            <w:tcBorders>
              <w:top w:val="single" w:sz="4" w:space="0" w:color="auto"/>
              <w:left w:val="nil"/>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 xml:space="preserve"> przeliczeniowe </w:t>
            </w:r>
          </w:p>
        </w:tc>
        <w:tc>
          <w:tcPr>
            <w:tcW w:w="1345" w:type="dxa"/>
            <w:tcBorders>
              <w:top w:val="single" w:sz="4" w:space="0" w:color="auto"/>
              <w:left w:val="nil"/>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Kwota</w:t>
            </w:r>
          </w:p>
        </w:tc>
        <w:tc>
          <w:tcPr>
            <w:tcW w:w="1215" w:type="dxa"/>
            <w:tcBorders>
              <w:top w:val="single" w:sz="4" w:space="0" w:color="auto"/>
              <w:left w:val="nil"/>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Kwota średnia*</w:t>
            </w:r>
          </w:p>
        </w:tc>
        <w:tc>
          <w:tcPr>
            <w:tcW w:w="625" w:type="dxa"/>
            <w:tcBorders>
              <w:top w:val="single" w:sz="4" w:space="0" w:color="auto"/>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waga</w:t>
            </w:r>
          </w:p>
        </w:tc>
        <w:tc>
          <w:tcPr>
            <w:tcW w:w="1391" w:type="dxa"/>
            <w:tcBorders>
              <w:top w:val="single" w:sz="4" w:space="0" w:color="auto"/>
              <w:left w:val="nil"/>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 xml:space="preserve"> przeliczeniowe </w:t>
            </w:r>
          </w:p>
        </w:tc>
      </w:tr>
      <w:tr>
        <w:tblPrEx>
          <w:tblW w:w="14845" w:type="dxa"/>
          <w:tblInd w:w="60" w:type="dxa"/>
          <w:tblCellMar>
            <w:left w:w="70" w:type="dxa"/>
            <w:right w:w="70" w:type="dxa"/>
          </w:tblCellMar>
          <w:tblLook w:val="04A0"/>
        </w:tblPrEx>
        <w:trPr>
          <w:trHeight w:val="227"/>
        </w:trPr>
        <w:tc>
          <w:tcPr>
            <w:tcW w:w="580"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2021</w:t>
            </w:r>
          </w:p>
        </w:tc>
        <w:tc>
          <w:tcPr>
            <w:tcW w:w="1304" w:type="dxa"/>
            <w:gridSpan w:val="2"/>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205 452 324,29</w:t>
            </w:r>
          </w:p>
        </w:tc>
        <w:tc>
          <w:tcPr>
            <w:tcW w:w="1275"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176 562 464,97</w:t>
            </w:r>
          </w:p>
        </w:tc>
        <w:tc>
          <w:tcPr>
            <w:tcW w:w="1053" w:type="dxa"/>
            <w:tcBorders>
              <w:top w:val="single" w:sz="4" w:space="0" w:color="auto"/>
              <w:left w:val="nil"/>
              <w:bottom w:val="single" w:sz="4" w:space="0" w:color="auto"/>
              <w:right w:val="single" w:sz="4" w:space="0" w:color="auto"/>
            </w:tcBorders>
            <w:shd w:val="clear" w:color="DDDDDD" w:fill="D8D8D8"/>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556" w:type="dxa"/>
            <w:gridSpan w:val="2"/>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1,00</w:t>
            </w:r>
          </w:p>
        </w:tc>
        <w:tc>
          <w:tcPr>
            <w:tcW w:w="1316" w:type="dxa"/>
            <w:gridSpan w:val="2"/>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176 562 464,97</w:t>
            </w:r>
          </w:p>
        </w:tc>
        <w:tc>
          <w:tcPr>
            <w:tcW w:w="1195"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20 153 958,18</w:t>
            </w:r>
          </w:p>
        </w:tc>
        <w:tc>
          <w:tcPr>
            <w:tcW w:w="1194" w:type="dxa"/>
            <w:tcBorders>
              <w:top w:val="single" w:sz="4" w:space="0" w:color="auto"/>
              <w:left w:val="nil"/>
              <w:bottom w:val="single" w:sz="4" w:space="0" w:color="auto"/>
              <w:right w:val="single" w:sz="4" w:space="0" w:color="auto"/>
            </w:tcBorders>
            <w:shd w:val="clear" w:color="DDDDDD" w:fill="D8D8D8"/>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541"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0,50</w:t>
            </w:r>
          </w:p>
        </w:tc>
        <w:tc>
          <w:tcPr>
            <w:tcW w:w="1255"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10 076 979,09</w:t>
            </w:r>
          </w:p>
        </w:tc>
        <w:tc>
          <w:tcPr>
            <w:tcW w:w="1345"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8 735 901,14</w:t>
            </w:r>
          </w:p>
        </w:tc>
        <w:tc>
          <w:tcPr>
            <w:tcW w:w="1215" w:type="dxa"/>
            <w:tcBorders>
              <w:top w:val="single" w:sz="4" w:space="0" w:color="auto"/>
              <w:left w:val="nil"/>
              <w:bottom w:val="single" w:sz="4" w:space="0" w:color="auto"/>
              <w:right w:val="single" w:sz="4" w:space="0" w:color="auto"/>
            </w:tcBorders>
            <w:shd w:val="clear" w:color="DDDDDD" w:fill="D8D8D8"/>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625"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0,25</w:t>
            </w:r>
          </w:p>
        </w:tc>
        <w:tc>
          <w:tcPr>
            <w:tcW w:w="1391"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2 183 975,29</w:t>
            </w:r>
          </w:p>
        </w:tc>
      </w:tr>
      <w:tr>
        <w:tblPrEx>
          <w:tblW w:w="14845" w:type="dxa"/>
          <w:tblInd w:w="60" w:type="dxa"/>
          <w:tblCellMar>
            <w:left w:w="70" w:type="dxa"/>
            <w:right w:w="70" w:type="dxa"/>
          </w:tblCellMar>
          <w:tblLook w:val="04A0"/>
        </w:tblPrEx>
        <w:trPr>
          <w:trHeight w:val="227"/>
        </w:trPr>
        <w:tc>
          <w:tcPr>
            <w:tcW w:w="580"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2022</w:t>
            </w:r>
          </w:p>
        </w:tc>
        <w:tc>
          <w:tcPr>
            <w:tcW w:w="1304" w:type="dxa"/>
            <w:gridSpan w:val="2"/>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140 236 324,79</w:t>
            </w:r>
          </w:p>
        </w:tc>
        <w:tc>
          <w:tcPr>
            <w:tcW w:w="1275"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73 489 239,22</w:t>
            </w:r>
          </w:p>
        </w:tc>
        <w:tc>
          <w:tcPr>
            <w:tcW w:w="1053" w:type="dxa"/>
            <w:tcBorders>
              <w:top w:val="single" w:sz="4" w:space="0" w:color="auto"/>
              <w:left w:val="nil"/>
              <w:bottom w:val="single" w:sz="4" w:space="0" w:color="auto"/>
              <w:right w:val="single" w:sz="4" w:space="0" w:color="auto"/>
            </w:tcBorders>
            <w:shd w:val="clear" w:color="DDDDDD" w:fill="D8D8D8"/>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556" w:type="dxa"/>
            <w:gridSpan w:val="2"/>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1,00</w:t>
            </w:r>
          </w:p>
        </w:tc>
        <w:tc>
          <w:tcPr>
            <w:tcW w:w="1316" w:type="dxa"/>
            <w:gridSpan w:val="2"/>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73 489 239,22</w:t>
            </w:r>
          </w:p>
        </w:tc>
        <w:tc>
          <w:tcPr>
            <w:tcW w:w="1195"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58 793 625,09</w:t>
            </w:r>
          </w:p>
        </w:tc>
        <w:tc>
          <w:tcPr>
            <w:tcW w:w="1194" w:type="dxa"/>
            <w:tcBorders>
              <w:top w:val="single" w:sz="4" w:space="0" w:color="auto"/>
              <w:left w:val="nil"/>
              <w:bottom w:val="single" w:sz="4" w:space="0" w:color="auto"/>
              <w:right w:val="single" w:sz="4" w:space="0" w:color="auto"/>
            </w:tcBorders>
            <w:shd w:val="clear" w:color="DDDDDD" w:fill="D8D8D8"/>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541"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0,50</w:t>
            </w:r>
          </w:p>
        </w:tc>
        <w:tc>
          <w:tcPr>
            <w:tcW w:w="1255"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29 396 812,55</w:t>
            </w:r>
          </w:p>
        </w:tc>
        <w:tc>
          <w:tcPr>
            <w:tcW w:w="1345"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7 953 460,48</w:t>
            </w:r>
          </w:p>
        </w:tc>
        <w:tc>
          <w:tcPr>
            <w:tcW w:w="1215" w:type="dxa"/>
            <w:tcBorders>
              <w:top w:val="single" w:sz="4" w:space="0" w:color="auto"/>
              <w:left w:val="nil"/>
              <w:bottom w:val="single" w:sz="4" w:space="0" w:color="auto"/>
              <w:right w:val="single" w:sz="4" w:space="0" w:color="auto"/>
            </w:tcBorders>
            <w:shd w:val="clear" w:color="DDDDDD" w:fill="D8D8D8"/>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625"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0,25</w:t>
            </w:r>
          </w:p>
        </w:tc>
        <w:tc>
          <w:tcPr>
            <w:tcW w:w="1391"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1 988 365,12</w:t>
            </w:r>
          </w:p>
        </w:tc>
      </w:tr>
      <w:tr>
        <w:tblPrEx>
          <w:tblW w:w="14845" w:type="dxa"/>
          <w:tblInd w:w="60" w:type="dxa"/>
          <w:tblCellMar>
            <w:left w:w="70" w:type="dxa"/>
            <w:right w:w="70" w:type="dxa"/>
          </w:tblCellMar>
          <w:tblLook w:val="04A0"/>
        </w:tblPrEx>
        <w:trPr>
          <w:trHeight w:val="227"/>
        </w:trPr>
        <w:tc>
          <w:tcPr>
            <w:tcW w:w="580"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2023</w:t>
            </w:r>
          </w:p>
        </w:tc>
        <w:tc>
          <w:tcPr>
            <w:tcW w:w="1304" w:type="dxa"/>
            <w:gridSpan w:val="2"/>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151 935 519,30</w:t>
            </w:r>
          </w:p>
        </w:tc>
        <w:tc>
          <w:tcPr>
            <w:tcW w:w="1275"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56 578 173,67</w:t>
            </w:r>
          </w:p>
        </w:tc>
        <w:tc>
          <w:tcPr>
            <w:tcW w:w="1053" w:type="dxa"/>
            <w:tcBorders>
              <w:top w:val="single" w:sz="4" w:space="0" w:color="auto"/>
              <w:left w:val="nil"/>
              <w:bottom w:val="single" w:sz="4" w:space="0" w:color="auto"/>
              <w:right w:val="single" w:sz="4" w:space="0" w:color="auto"/>
            </w:tcBorders>
            <w:shd w:val="clear" w:color="DDDDDD" w:fill="D8D8D8"/>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556" w:type="dxa"/>
            <w:gridSpan w:val="2"/>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1,00</w:t>
            </w:r>
          </w:p>
        </w:tc>
        <w:tc>
          <w:tcPr>
            <w:tcW w:w="1316" w:type="dxa"/>
            <w:gridSpan w:val="2"/>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56 578 173,67</w:t>
            </w:r>
          </w:p>
        </w:tc>
        <w:tc>
          <w:tcPr>
            <w:tcW w:w="1195"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71 624 108,65</w:t>
            </w:r>
          </w:p>
        </w:tc>
        <w:tc>
          <w:tcPr>
            <w:tcW w:w="1194" w:type="dxa"/>
            <w:tcBorders>
              <w:top w:val="single" w:sz="4" w:space="0" w:color="auto"/>
              <w:left w:val="nil"/>
              <w:bottom w:val="single" w:sz="4" w:space="0" w:color="auto"/>
              <w:right w:val="single" w:sz="4" w:space="0" w:color="auto"/>
            </w:tcBorders>
            <w:shd w:val="clear" w:color="DDDDDD" w:fill="D8D8D8"/>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541"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0,50</w:t>
            </w:r>
          </w:p>
        </w:tc>
        <w:tc>
          <w:tcPr>
            <w:tcW w:w="1255"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35 812 054,33</w:t>
            </w:r>
          </w:p>
        </w:tc>
        <w:tc>
          <w:tcPr>
            <w:tcW w:w="1345"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23 733 236,98</w:t>
            </w:r>
          </w:p>
        </w:tc>
        <w:tc>
          <w:tcPr>
            <w:tcW w:w="1215" w:type="dxa"/>
            <w:tcBorders>
              <w:top w:val="single" w:sz="4" w:space="0" w:color="auto"/>
              <w:left w:val="nil"/>
              <w:bottom w:val="single" w:sz="4" w:space="0" w:color="auto"/>
              <w:right w:val="single" w:sz="4" w:space="0" w:color="auto"/>
            </w:tcBorders>
            <w:shd w:val="clear" w:color="DDDDDD" w:fill="D8D8D8"/>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625"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0,25</w:t>
            </w:r>
          </w:p>
        </w:tc>
        <w:tc>
          <w:tcPr>
            <w:tcW w:w="1391"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5 933 309,25</w:t>
            </w:r>
          </w:p>
        </w:tc>
      </w:tr>
      <w:tr>
        <w:tblPrEx>
          <w:tblW w:w="14845" w:type="dxa"/>
          <w:tblInd w:w="60" w:type="dxa"/>
          <w:tblCellMar>
            <w:left w:w="70" w:type="dxa"/>
            <w:right w:w="70" w:type="dxa"/>
          </w:tblCellMar>
          <w:tblLook w:val="04A0"/>
        </w:tblPrEx>
        <w:trPr>
          <w:trHeight w:val="227"/>
        </w:trPr>
        <w:tc>
          <w:tcPr>
            <w:tcW w:w="580"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2024</w:t>
            </w:r>
          </w:p>
        </w:tc>
        <w:tc>
          <w:tcPr>
            <w:tcW w:w="1304" w:type="dxa"/>
            <w:gridSpan w:val="2"/>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56 570 832,84</w:t>
            </w:r>
          </w:p>
        </w:tc>
        <w:tc>
          <w:tcPr>
            <w:tcW w:w="1275"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34 222 434,83</w:t>
            </w:r>
          </w:p>
        </w:tc>
        <w:tc>
          <w:tcPr>
            <w:tcW w:w="1053" w:type="dxa"/>
            <w:tcBorders>
              <w:top w:val="single" w:sz="4" w:space="0" w:color="auto"/>
              <w:left w:val="nil"/>
              <w:bottom w:val="single" w:sz="4" w:space="0" w:color="auto"/>
              <w:right w:val="single" w:sz="4" w:space="0" w:color="auto"/>
            </w:tcBorders>
            <w:shd w:val="clear" w:color="DDDDDD" w:fill="D8D8D8"/>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556" w:type="dxa"/>
            <w:gridSpan w:val="2"/>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1,00</w:t>
            </w:r>
          </w:p>
        </w:tc>
        <w:tc>
          <w:tcPr>
            <w:tcW w:w="1316" w:type="dxa"/>
            <w:gridSpan w:val="2"/>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34 222 434,83</w:t>
            </w:r>
          </w:p>
        </w:tc>
        <w:tc>
          <w:tcPr>
            <w:tcW w:w="1195"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21 794,00</w:t>
            </w:r>
          </w:p>
        </w:tc>
        <w:tc>
          <w:tcPr>
            <w:tcW w:w="1194" w:type="dxa"/>
            <w:tcBorders>
              <w:top w:val="single" w:sz="4" w:space="0" w:color="auto"/>
              <w:left w:val="nil"/>
              <w:bottom w:val="single" w:sz="4" w:space="0" w:color="auto"/>
              <w:right w:val="single" w:sz="4" w:space="0" w:color="auto"/>
            </w:tcBorders>
            <w:shd w:val="clear" w:color="DDDDDD" w:fill="D8D8D8"/>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541"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0,50</w:t>
            </w:r>
          </w:p>
        </w:tc>
        <w:tc>
          <w:tcPr>
            <w:tcW w:w="1255"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10 897,00</w:t>
            </w:r>
          </w:p>
        </w:tc>
        <w:tc>
          <w:tcPr>
            <w:tcW w:w="1345"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22 326 604,01</w:t>
            </w:r>
          </w:p>
        </w:tc>
        <w:tc>
          <w:tcPr>
            <w:tcW w:w="1215" w:type="dxa"/>
            <w:tcBorders>
              <w:top w:val="single" w:sz="4" w:space="0" w:color="auto"/>
              <w:left w:val="nil"/>
              <w:bottom w:val="single" w:sz="4" w:space="0" w:color="auto"/>
              <w:right w:val="single" w:sz="4" w:space="0" w:color="auto"/>
            </w:tcBorders>
            <w:shd w:val="clear" w:color="DDDDDD" w:fill="D8D8D8"/>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625"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0,25</w:t>
            </w:r>
          </w:p>
        </w:tc>
        <w:tc>
          <w:tcPr>
            <w:tcW w:w="1391"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5 581 651,00</w:t>
            </w:r>
          </w:p>
        </w:tc>
      </w:tr>
      <w:tr>
        <w:tblPrEx>
          <w:tblW w:w="14845" w:type="dxa"/>
          <w:tblInd w:w="60" w:type="dxa"/>
          <w:tblCellMar>
            <w:left w:w="70" w:type="dxa"/>
            <w:right w:w="70" w:type="dxa"/>
          </w:tblCellMar>
          <w:tblLook w:val="04A0"/>
        </w:tblPrEx>
        <w:trPr>
          <w:trHeight w:val="227"/>
        </w:trPr>
        <w:tc>
          <w:tcPr>
            <w:tcW w:w="580"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2025</w:t>
            </w:r>
          </w:p>
        </w:tc>
        <w:tc>
          <w:tcPr>
            <w:tcW w:w="1304" w:type="dxa"/>
            <w:gridSpan w:val="2"/>
            <w:tcBorders>
              <w:top w:val="single" w:sz="4" w:space="0" w:color="auto"/>
              <w:left w:val="nil"/>
              <w:bottom w:val="single" w:sz="4" w:space="0" w:color="auto"/>
              <w:right w:val="single" w:sz="4" w:space="0" w:color="auto"/>
            </w:tcBorders>
            <w:shd w:val="clear" w:color="DDDDDD" w:fill="D8D8D8"/>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1275" w:type="dxa"/>
            <w:tcBorders>
              <w:top w:val="single" w:sz="4" w:space="0" w:color="auto"/>
              <w:left w:val="nil"/>
              <w:bottom w:val="single" w:sz="4" w:space="0" w:color="auto"/>
              <w:right w:val="single" w:sz="4" w:space="0" w:color="auto"/>
            </w:tcBorders>
            <w:shd w:val="clear" w:color="DDDDDD" w:fill="D8D8D8"/>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1053"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102 209 959</w:t>
            </w:r>
          </w:p>
        </w:tc>
        <w:tc>
          <w:tcPr>
            <w:tcW w:w="567" w:type="dxa"/>
            <w:gridSpan w:val="3"/>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1,00</w:t>
            </w:r>
          </w:p>
        </w:tc>
        <w:tc>
          <w:tcPr>
            <w:tcW w:w="1305" w:type="dxa"/>
            <w:tcBorders>
              <w:top w:val="single" w:sz="4" w:space="0" w:color="auto"/>
              <w:left w:val="nil"/>
              <w:bottom w:val="single" w:sz="4" w:space="0" w:color="auto"/>
              <w:right w:val="single" w:sz="4" w:space="0" w:color="auto"/>
            </w:tcBorders>
            <w:shd w:val="clear" w:color="DDDDDD" w:fill="D8D8D8"/>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1195" w:type="dxa"/>
            <w:tcBorders>
              <w:top w:val="single" w:sz="4" w:space="0" w:color="auto"/>
              <w:left w:val="nil"/>
              <w:bottom w:val="single" w:sz="4" w:space="0" w:color="auto"/>
              <w:right w:val="single" w:sz="4" w:space="0" w:color="auto"/>
            </w:tcBorders>
            <w:shd w:val="clear" w:color="DDDDDD" w:fill="D8D8D8"/>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1194"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25 095 281,99</w:t>
            </w:r>
          </w:p>
        </w:tc>
        <w:tc>
          <w:tcPr>
            <w:tcW w:w="541"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0,50</w:t>
            </w:r>
          </w:p>
        </w:tc>
        <w:tc>
          <w:tcPr>
            <w:tcW w:w="1255" w:type="dxa"/>
            <w:tcBorders>
              <w:top w:val="single" w:sz="4" w:space="0" w:color="auto"/>
              <w:left w:val="nil"/>
              <w:bottom w:val="single" w:sz="4" w:space="0" w:color="auto"/>
              <w:right w:val="single" w:sz="4" w:space="0" w:color="auto"/>
            </w:tcBorders>
            <w:shd w:val="clear" w:color="DDDDDD" w:fill="D8D8D8"/>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1345" w:type="dxa"/>
            <w:tcBorders>
              <w:top w:val="single" w:sz="4" w:space="0" w:color="auto"/>
              <w:left w:val="nil"/>
              <w:bottom w:val="single" w:sz="4" w:space="0" w:color="auto"/>
              <w:right w:val="single" w:sz="4" w:space="0" w:color="auto"/>
            </w:tcBorders>
            <w:shd w:val="clear" w:color="DDDDDD" w:fill="D8D8D8"/>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1215"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3 368 549,89</w:t>
            </w:r>
          </w:p>
        </w:tc>
        <w:tc>
          <w:tcPr>
            <w:tcW w:w="625"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0,25</w:t>
            </w:r>
          </w:p>
        </w:tc>
        <w:tc>
          <w:tcPr>
            <w:tcW w:w="1391" w:type="dxa"/>
            <w:tcBorders>
              <w:top w:val="single" w:sz="4" w:space="0" w:color="auto"/>
              <w:left w:val="nil"/>
              <w:bottom w:val="single" w:sz="4" w:space="0" w:color="auto"/>
              <w:right w:val="single" w:sz="4" w:space="0" w:color="auto"/>
            </w:tcBorders>
            <w:shd w:val="clear" w:color="DDDDDD" w:fill="D8D8D8"/>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r>
      <w:tr>
        <w:tblPrEx>
          <w:tblW w:w="14845" w:type="dxa"/>
          <w:tblInd w:w="60" w:type="dxa"/>
          <w:tblCellMar>
            <w:left w:w="70" w:type="dxa"/>
            <w:right w:w="70" w:type="dxa"/>
          </w:tblCellMar>
          <w:tblLook w:val="04A0"/>
        </w:tblPrEx>
        <w:trPr>
          <w:trHeight w:val="227"/>
        </w:trPr>
        <w:tc>
          <w:tcPr>
            <w:tcW w:w="580"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2026</w:t>
            </w:r>
          </w:p>
        </w:tc>
        <w:tc>
          <w:tcPr>
            <w:tcW w:w="1304" w:type="dxa"/>
            <w:gridSpan w:val="2"/>
            <w:tcBorders>
              <w:top w:val="single" w:sz="4" w:space="0" w:color="auto"/>
              <w:left w:val="nil"/>
              <w:bottom w:val="single" w:sz="4" w:space="0" w:color="auto"/>
              <w:right w:val="single" w:sz="4" w:space="0" w:color="auto"/>
            </w:tcBorders>
            <w:shd w:val="clear" w:color="DDDDDD" w:fill="D8D8D8"/>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1275" w:type="dxa"/>
            <w:tcBorders>
              <w:top w:val="single" w:sz="4" w:space="0" w:color="auto"/>
              <w:left w:val="nil"/>
              <w:bottom w:val="single" w:sz="4" w:space="0" w:color="auto"/>
              <w:right w:val="single" w:sz="4" w:space="0" w:color="auto"/>
            </w:tcBorders>
            <w:shd w:val="clear" w:color="DDDDDD" w:fill="D8D8D8"/>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1053"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54 763 283</w:t>
            </w:r>
          </w:p>
        </w:tc>
        <w:tc>
          <w:tcPr>
            <w:tcW w:w="567" w:type="dxa"/>
            <w:gridSpan w:val="3"/>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1,00</w:t>
            </w:r>
          </w:p>
        </w:tc>
        <w:tc>
          <w:tcPr>
            <w:tcW w:w="1305" w:type="dxa"/>
            <w:tcBorders>
              <w:top w:val="single" w:sz="4" w:space="0" w:color="auto"/>
              <w:left w:val="nil"/>
              <w:bottom w:val="single" w:sz="4" w:space="0" w:color="auto"/>
              <w:right w:val="single" w:sz="4" w:space="0" w:color="auto"/>
            </w:tcBorders>
            <w:shd w:val="clear" w:color="DDDDDD" w:fill="D8D8D8"/>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1195" w:type="dxa"/>
            <w:tcBorders>
              <w:top w:val="single" w:sz="4" w:space="0" w:color="auto"/>
              <w:left w:val="nil"/>
              <w:bottom w:val="single" w:sz="4" w:space="0" w:color="auto"/>
              <w:right w:val="single" w:sz="4" w:space="0" w:color="auto"/>
            </w:tcBorders>
            <w:shd w:val="clear" w:color="DDDDDD" w:fill="D8D8D8"/>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1194"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21 739 921,29</w:t>
            </w:r>
          </w:p>
        </w:tc>
        <w:tc>
          <w:tcPr>
            <w:tcW w:w="541"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0,50</w:t>
            </w:r>
          </w:p>
        </w:tc>
        <w:tc>
          <w:tcPr>
            <w:tcW w:w="1255" w:type="dxa"/>
            <w:tcBorders>
              <w:top w:val="single" w:sz="4" w:space="0" w:color="auto"/>
              <w:left w:val="nil"/>
              <w:bottom w:val="single" w:sz="4" w:space="0" w:color="auto"/>
              <w:right w:val="single" w:sz="4" w:space="0" w:color="auto"/>
            </w:tcBorders>
            <w:shd w:val="clear" w:color="DDDDDD" w:fill="D8D8D8"/>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1345" w:type="dxa"/>
            <w:tcBorders>
              <w:top w:val="single" w:sz="4" w:space="0" w:color="auto"/>
              <w:left w:val="nil"/>
              <w:bottom w:val="single" w:sz="4" w:space="0" w:color="auto"/>
              <w:right w:val="single" w:sz="4" w:space="0" w:color="auto"/>
            </w:tcBorders>
            <w:shd w:val="clear" w:color="DDDDDD" w:fill="D8D8D8"/>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1215"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4 501 108,46</w:t>
            </w:r>
          </w:p>
        </w:tc>
        <w:tc>
          <w:tcPr>
            <w:tcW w:w="625"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0,25</w:t>
            </w:r>
          </w:p>
        </w:tc>
        <w:tc>
          <w:tcPr>
            <w:tcW w:w="1391" w:type="dxa"/>
            <w:tcBorders>
              <w:top w:val="single" w:sz="4" w:space="0" w:color="auto"/>
              <w:left w:val="nil"/>
              <w:bottom w:val="single" w:sz="4" w:space="0" w:color="auto"/>
              <w:right w:val="single" w:sz="4" w:space="0" w:color="auto"/>
            </w:tcBorders>
            <w:shd w:val="clear" w:color="DDDDDD" w:fill="D8D8D8"/>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r>
      <w:tr>
        <w:tblPrEx>
          <w:tblW w:w="14845" w:type="dxa"/>
          <w:tblInd w:w="60" w:type="dxa"/>
          <w:tblCellMar>
            <w:left w:w="70" w:type="dxa"/>
            <w:right w:w="70" w:type="dxa"/>
          </w:tblCellMar>
          <w:tblLook w:val="04A0"/>
        </w:tblPrEx>
        <w:trPr>
          <w:gridBefore w:val="2"/>
          <w:gridAfter w:val="11"/>
          <w:wBefore w:w="873" w:type="dxa"/>
          <w:wAfter w:w="11159" w:type="dxa"/>
          <w:trHeight w:val="227"/>
        </w:trPr>
        <w:tc>
          <w:tcPr>
            <w:tcW w:w="3676" w:type="dxa"/>
            <w:gridSpan w:val="4"/>
            <w:tcBorders>
              <w:top w:val="nil"/>
              <w:left w:val="nil"/>
              <w:bottom w:val="nil"/>
              <w:right w:val="nil"/>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średnia dla 2025 - lata 2021-2023</w:t>
            </w:r>
          </w:p>
        </w:tc>
      </w:tr>
      <w:tr>
        <w:tblPrEx>
          <w:tblW w:w="14845" w:type="dxa"/>
          <w:tblInd w:w="60" w:type="dxa"/>
          <w:tblCellMar>
            <w:left w:w="70" w:type="dxa"/>
            <w:right w:w="70" w:type="dxa"/>
          </w:tblCellMar>
          <w:tblLook w:val="04A0"/>
        </w:tblPrEx>
        <w:trPr>
          <w:gridBefore w:val="2"/>
          <w:gridAfter w:val="11"/>
          <w:wBefore w:w="873" w:type="dxa"/>
          <w:wAfter w:w="11159" w:type="dxa"/>
          <w:trHeight w:val="227"/>
        </w:trPr>
        <w:tc>
          <w:tcPr>
            <w:tcW w:w="3676" w:type="dxa"/>
            <w:gridSpan w:val="4"/>
            <w:tcBorders>
              <w:top w:val="nil"/>
              <w:left w:val="nil"/>
              <w:bottom w:val="nil"/>
              <w:right w:val="nil"/>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średnia dla 2026 - lata 2022-2024</w:t>
            </w:r>
          </w:p>
        </w:tc>
      </w:tr>
    </w:tbl>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ascii="Times New Roman" w:eastAsia="Times New Roman" w:hAnsi="Times New Roman" w:cs="Times New Roman"/>
          <w:szCs w:val="20"/>
          <w:lang w:bidi="ar-SA"/>
        </w:rPr>
      </w:pPr>
    </w:p>
    <w:tbl>
      <w:tblPr>
        <w:tblStyle w:val="TableNormal"/>
        <w:tblW w:w="11893" w:type="dxa"/>
        <w:jc w:val="center"/>
        <w:tblCellMar>
          <w:left w:w="70" w:type="dxa"/>
          <w:right w:w="70" w:type="dxa"/>
        </w:tblCellMar>
        <w:tblLook w:val="04A0"/>
      </w:tblPr>
      <w:tblGrid>
        <w:gridCol w:w="516"/>
        <w:gridCol w:w="2099"/>
        <w:gridCol w:w="2079"/>
        <w:gridCol w:w="2099"/>
        <w:gridCol w:w="1678"/>
        <w:gridCol w:w="1705"/>
        <w:gridCol w:w="1718"/>
      </w:tblGrid>
      <w:tr>
        <w:tblPrEx>
          <w:tblW w:w="11893" w:type="dxa"/>
          <w:jc w:val="center"/>
          <w:tblCellMar>
            <w:left w:w="70" w:type="dxa"/>
            <w:right w:w="70" w:type="dxa"/>
          </w:tblCellMar>
          <w:tblLook w:val="04A0"/>
        </w:tblPrEx>
        <w:trPr>
          <w:trHeight w:val="170"/>
          <w:jc w:val="center"/>
        </w:trPr>
        <w:tc>
          <w:tcPr>
            <w:tcW w:w="0" w:type="auto"/>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p>
        </w:tc>
        <w:tc>
          <w:tcPr>
            <w:tcW w:w="6294" w:type="dxa"/>
            <w:gridSpan w:val="3"/>
            <w:vMerge w:val="restart"/>
            <w:tcBorders>
              <w:top w:val="single" w:sz="4" w:space="0" w:color="auto"/>
              <w:left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MNP</w:t>
            </w:r>
          </w:p>
        </w:tc>
        <w:tc>
          <w:tcPr>
            <w:tcW w:w="5103" w:type="dxa"/>
            <w:gridSpan w:val="3"/>
            <w:tcBorders>
              <w:top w:val="single" w:sz="4" w:space="0" w:color="auto"/>
              <w:left w:val="nil"/>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p>
        </w:tc>
      </w:tr>
      <w:tr>
        <w:tblPrEx>
          <w:tblW w:w="11893" w:type="dxa"/>
          <w:jc w:val="center"/>
          <w:tblCellMar>
            <w:left w:w="70" w:type="dxa"/>
            <w:right w:w="70" w:type="dxa"/>
          </w:tblCellMar>
          <w:tblLook w:val="04A0"/>
        </w:tblPrEx>
        <w:trPr>
          <w:trHeight w:val="170"/>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ROK</w:t>
            </w:r>
          </w:p>
        </w:tc>
        <w:tc>
          <w:tcPr>
            <w:tcW w:w="6294" w:type="dxa"/>
            <w:gridSpan w:val="3"/>
            <w:vMerge/>
            <w:tcBorders>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p>
        </w:tc>
        <w:tc>
          <w:tcPr>
            <w:tcW w:w="5103" w:type="dxa"/>
            <w:gridSpan w:val="3"/>
            <w:tcBorders>
              <w:left w:val="nil"/>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Część inwestycyjna należna miastu Bytom</w:t>
            </w:r>
          </w:p>
        </w:tc>
      </w:tr>
      <w:tr>
        <w:tblPrEx>
          <w:tblW w:w="11893" w:type="dxa"/>
          <w:jc w:val="center"/>
          <w:tblCellMar>
            <w:left w:w="70" w:type="dxa"/>
            <w:right w:w="70" w:type="dxa"/>
          </w:tblCellMar>
          <w:tblLook w:val="04A0"/>
        </w:tblPrEx>
        <w:trPr>
          <w:trHeight w:val="17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p>
        </w:tc>
        <w:tc>
          <w:tcPr>
            <w:tcW w:w="2098" w:type="dxa"/>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Wydatki przeliczeniowe razem BYTOM</w:t>
            </w:r>
          </w:p>
        </w:tc>
        <w:tc>
          <w:tcPr>
            <w:tcW w:w="2098" w:type="dxa"/>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część inwestycyjna wszystkich MNPP (40%)*</w:t>
            </w:r>
          </w:p>
        </w:tc>
        <w:tc>
          <w:tcPr>
            <w:tcW w:w="2098" w:type="dxa"/>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wydatki przeliczeniowe wszystkich MNPP zgodnie z tabelą MF (suma)</w:t>
            </w:r>
          </w:p>
        </w:tc>
        <w:tc>
          <w:tcPr>
            <w:tcW w:w="1701" w:type="dxa"/>
            <w:tcBorders>
              <w:top w:val="nil"/>
              <w:left w:val="nil"/>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Kwota wg wzoru*</w:t>
            </w:r>
          </w:p>
        </w:tc>
        <w:tc>
          <w:tcPr>
            <w:tcW w:w="1701" w:type="dxa"/>
            <w:tcBorders>
              <w:top w:val="single" w:sz="4" w:space="0" w:color="auto"/>
              <w:left w:val="nil"/>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Kwota potrzeb wg informacji MF</w:t>
            </w:r>
          </w:p>
        </w:tc>
        <w:tc>
          <w:tcPr>
            <w:tcW w:w="1701" w:type="dxa"/>
            <w:tcBorders>
              <w:top w:val="single" w:sz="4" w:space="0" w:color="auto"/>
              <w:left w:val="nil"/>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różnica wynikająca z zaokrągleń liczb po przecinku</w:t>
            </w:r>
          </w:p>
        </w:tc>
      </w:tr>
      <w:tr>
        <w:tblPrEx>
          <w:tblW w:w="11893" w:type="dxa"/>
          <w:jc w:val="center"/>
          <w:tblCellMar>
            <w:left w:w="70" w:type="dxa"/>
            <w:right w:w="70" w:type="dxa"/>
          </w:tblCellMar>
          <w:tblLook w:val="04A0"/>
        </w:tblPrEx>
        <w:trPr>
          <w:trHeight w:val="227"/>
          <w:jc w:val="center"/>
        </w:trPr>
        <w:tc>
          <w:tcPr>
            <w:tcW w:w="0" w:type="auto"/>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2021</w:t>
            </w:r>
          </w:p>
        </w:tc>
        <w:tc>
          <w:tcPr>
            <w:tcW w:w="2098" w:type="dxa"/>
            <w:tcBorders>
              <w:top w:val="single" w:sz="4" w:space="0" w:color="auto"/>
              <w:left w:val="nil"/>
              <w:bottom w:val="single" w:sz="4" w:space="0" w:color="auto"/>
              <w:right w:val="single" w:sz="4" w:space="0" w:color="auto"/>
            </w:tcBorders>
            <w:shd w:val="clear" w:color="B7DEE8"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2098" w:type="dxa"/>
            <w:tcBorders>
              <w:top w:val="single" w:sz="4" w:space="0" w:color="auto"/>
              <w:left w:val="nil"/>
              <w:bottom w:val="single" w:sz="4" w:space="0" w:color="auto"/>
              <w:right w:val="single" w:sz="4" w:space="0" w:color="auto"/>
            </w:tcBorders>
            <w:shd w:val="clear" w:color="B7DEE8"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2098" w:type="dxa"/>
            <w:tcBorders>
              <w:top w:val="single" w:sz="4" w:space="0" w:color="auto"/>
              <w:left w:val="nil"/>
              <w:bottom w:val="single" w:sz="4" w:space="0" w:color="auto"/>
              <w:right w:val="single" w:sz="4" w:space="0" w:color="auto"/>
            </w:tcBorders>
            <w:shd w:val="clear" w:color="B7DEE8"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1701" w:type="dxa"/>
            <w:tcBorders>
              <w:top w:val="nil"/>
              <w:left w:val="nil"/>
              <w:bottom w:val="single" w:sz="4" w:space="0" w:color="auto"/>
              <w:right w:val="single" w:sz="4" w:space="0" w:color="auto"/>
            </w:tcBorders>
            <w:shd w:val="clear" w:color="B7DEE8"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1701" w:type="dxa"/>
            <w:tcBorders>
              <w:top w:val="single" w:sz="4" w:space="0" w:color="auto"/>
              <w:left w:val="nil"/>
              <w:bottom w:val="single" w:sz="4" w:space="0" w:color="auto"/>
              <w:right w:val="single" w:sz="4" w:space="0" w:color="auto"/>
            </w:tcBorders>
            <w:shd w:val="clear" w:color="B7DEE8"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1701" w:type="dxa"/>
            <w:tcBorders>
              <w:top w:val="single" w:sz="4" w:space="0" w:color="auto"/>
              <w:left w:val="nil"/>
              <w:bottom w:val="single" w:sz="4" w:space="0" w:color="auto"/>
              <w:right w:val="single" w:sz="4" w:space="0" w:color="auto"/>
            </w:tcBorders>
            <w:shd w:val="clear" w:color="B7DEE8"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r>
      <w:tr>
        <w:tblPrEx>
          <w:tblW w:w="11893" w:type="dxa"/>
          <w:jc w:val="center"/>
          <w:tblCellMar>
            <w:left w:w="70" w:type="dxa"/>
            <w:right w:w="70" w:type="dxa"/>
          </w:tblCellMar>
          <w:tblLook w:val="04A0"/>
        </w:tblPrEx>
        <w:trPr>
          <w:trHeight w:val="227"/>
          <w:jc w:val="center"/>
        </w:trPr>
        <w:tc>
          <w:tcPr>
            <w:tcW w:w="0" w:type="auto"/>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2022</w:t>
            </w:r>
          </w:p>
        </w:tc>
        <w:tc>
          <w:tcPr>
            <w:tcW w:w="2098" w:type="dxa"/>
            <w:tcBorders>
              <w:top w:val="single" w:sz="4" w:space="0" w:color="auto"/>
              <w:left w:val="nil"/>
              <w:bottom w:val="single" w:sz="4" w:space="0" w:color="auto"/>
              <w:right w:val="single" w:sz="4" w:space="0" w:color="auto"/>
            </w:tcBorders>
            <w:shd w:val="clear" w:color="B7DEE8"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2098" w:type="dxa"/>
            <w:tcBorders>
              <w:top w:val="single" w:sz="4" w:space="0" w:color="auto"/>
              <w:left w:val="nil"/>
              <w:bottom w:val="single" w:sz="4" w:space="0" w:color="auto"/>
              <w:right w:val="single" w:sz="4" w:space="0" w:color="auto"/>
            </w:tcBorders>
            <w:shd w:val="clear" w:color="B7DEE8"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2098" w:type="dxa"/>
            <w:tcBorders>
              <w:top w:val="single" w:sz="4" w:space="0" w:color="auto"/>
              <w:left w:val="nil"/>
              <w:bottom w:val="single" w:sz="4" w:space="0" w:color="auto"/>
              <w:right w:val="single" w:sz="4" w:space="0" w:color="auto"/>
            </w:tcBorders>
            <w:shd w:val="clear" w:color="B7DEE8"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1701" w:type="dxa"/>
            <w:tcBorders>
              <w:top w:val="single" w:sz="4" w:space="0" w:color="auto"/>
              <w:left w:val="nil"/>
              <w:bottom w:val="single" w:sz="4" w:space="0" w:color="auto"/>
              <w:right w:val="single" w:sz="4" w:space="0" w:color="auto"/>
            </w:tcBorders>
            <w:shd w:val="clear" w:color="B7DEE8"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1701" w:type="dxa"/>
            <w:tcBorders>
              <w:top w:val="single" w:sz="4" w:space="0" w:color="auto"/>
              <w:left w:val="nil"/>
              <w:bottom w:val="single" w:sz="4" w:space="0" w:color="auto"/>
              <w:right w:val="single" w:sz="4" w:space="0" w:color="auto"/>
            </w:tcBorders>
            <w:shd w:val="clear" w:color="B7DEE8"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1701" w:type="dxa"/>
            <w:tcBorders>
              <w:top w:val="single" w:sz="4" w:space="0" w:color="auto"/>
              <w:left w:val="nil"/>
              <w:bottom w:val="single" w:sz="4" w:space="0" w:color="auto"/>
              <w:right w:val="single" w:sz="4" w:space="0" w:color="auto"/>
            </w:tcBorders>
            <w:shd w:val="clear" w:color="B7DEE8"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r>
      <w:tr>
        <w:tblPrEx>
          <w:tblW w:w="11893" w:type="dxa"/>
          <w:jc w:val="center"/>
          <w:tblCellMar>
            <w:left w:w="70" w:type="dxa"/>
            <w:right w:w="70" w:type="dxa"/>
          </w:tblCellMar>
          <w:tblLook w:val="04A0"/>
        </w:tblPrEx>
        <w:trPr>
          <w:trHeight w:val="227"/>
          <w:jc w:val="center"/>
        </w:trPr>
        <w:tc>
          <w:tcPr>
            <w:tcW w:w="0" w:type="auto"/>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2023</w:t>
            </w:r>
          </w:p>
        </w:tc>
        <w:tc>
          <w:tcPr>
            <w:tcW w:w="2098" w:type="dxa"/>
            <w:tcBorders>
              <w:top w:val="single" w:sz="4" w:space="0" w:color="auto"/>
              <w:left w:val="nil"/>
              <w:bottom w:val="single" w:sz="4" w:space="0" w:color="auto"/>
              <w:right w:val="single" w:sz="4" w:space="0" w:color="auto"/>
            </w:tcBorders>
            <w:shd w:val="clear" w:color="B7DEE8"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2098" w:type="dxa"/>
            <w:tcBorders>
              <w:top w:val="single" w:sz="4" w:space="0" w:color="auto"/>
              <w:left w:val="nil"/>
              <w:bottom w:val="single" w:sz="4" w:space="0" w:color="auto"/>
              <w:right w:val="single" w:sz="4" w:space="0" w:color="auto"/>
            </w:tcBorders>
            <w:shd w:val="clear" w:color="B7DEE8"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2098" w:type="dxa"/>
            <w:tcBorders>
              <w:top w:val="single" w:sz="4" w:space="0" w:color="auto"/>
              <w:left w:val="nil"/>
              <w:bottom w:val="single" w:sz="4" w:space="0" w:color="auto"/>
              <w:right w:val="single" w:sz="4" w:space="0" w:color="auto"/>
            </w:tcBorders>
            <w:shd w:val="clear" w:color="B7DEE8"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1701" w:type="dxa"/>
            <w:tcBorders>
              <w:top w:val="single" w:sz="4" w:space="0" w:color="auto"/>
              <w:left w:val="nil"/>
              <w:bottom w:val="single" w:sz="4" w:space="0" w:color="auto"/>
              <w:right w:val="single" w:sz="4" w:space="0" w:color="auto"/>
            </w:tcBorders>
            <w:shd w:val="clear" w:color="B7DEE8"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1701" w:type="dxa"/>
            <w:tcBorders>
              <w:top w:val="single" w:sz="4" w:space="0" w:color="auto"/>
              <w:left w:val="nil"/>
              <w:bottom w:val="single" w:sz="4" w:space="0" w:color="auto"/>
              <w:right w:val="single" w:sz="4" w:space="0" w:color="auto"/>
            </w:tcBorders>
            <w:shd w:val="clear" w:color="B7DEE8"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1701" w:type="dxa"/>
            <w:tcBorders>
              <w:top w:val="single" w:sz="4" w:space="0" w:color="auto"/>
              <w:left w:val="nil"/>
              <w:bottom w:val="single" w:sz="4" w:space="0" w:color="auto"/>
              <w:right w:val="single" w:sz="4" w:space="0" w:color="auto"/>
            </w:tcBorders>
            <w:shd w:val="clear" w:color="B7DEE8"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r>
      <w:tr>
        <w:tblPrEx>
          <w:tblW w:w="11893" w:type="dxa"/>
          <w:jc w:val="center"/>
          <w:tblCellMar>
            <w:left w:w="70" w:type="dxa"/>
            <w:right w:w="70" w:type="dxa"/>
          </w:tblCellMar>
          <w:tblLook w:val="04A0"/>
        </w:tblPrEx>
        <w:trPr>
          <w:trHeight w:val="227"/>
          <w:jc w:val="center"/>
        </w:trPr>
        <w:tc>
          <w:tcPr>
            <w:tcW w:w="0" w:type="auto"/>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2024</w:t>
            </w:r>
          </w:p>
        </w:tc>
        <w:tc>
          <w:tcPr>
            <w:tcW w:w="2098" w:type="dxa"/>
            <w:tcBorders>
              <w:top w:val="single" w:sz="4" w:space="0" w:color="auto"/>
              <w:left w:val="nil"/>
              <w:bottom w:val="single" w:sz="4" w:space="0" w:color="auto"/>
              <w:right w:val="single" w:sz="4" w:space="0" w:color="auto"/>
            </w:tcBorders>
            <w:shd w:val="clear" w:color="B7DEE8"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2098" w:type="dxa"/>
            <w:tcBorders>
              <w:top w:val="single" w:sz="4" w:space="0" w:color="auto"/>
              <w:left w:val="nil"/>
              <w:bottom w:val="single" w:sz="4" w:space="0" w:color="auto"/>
              <w:right w:val="single" w:sz="4" w:space="0" w:color="auto"/>
            </w:tcBorders>
            <w:shd w:val="clear" w:color="B7DEE8"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2098" w:type="dxa"/>
            <w:tcBorders>
              <w:top w:val="single" w:sz="4" w:space="0" w:color="auto"/>
              <w:left w:val="nil"/>
              <w:bottom w:val="single" w:sz="4" w:space="0" w:color="auto"/>
              <w:right w:val="single" w:sz="4" w:space="0" w:color="auto"/>
            </w:tcBorders>
            <w:shd w:val="clear" w:color="B7DEE8"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1701" w:type="dxa"/>
            <w:tcBorders>
              <w:top w:val="single" w:sz="4" w:space="0" w:color="auto"/>
              <w:left w:val="nil"/>
              <w:bottom w:val="single" w:sz="4" w:space="0" w:color="auto"/>
              <w:right w:val="single" w:sz="4" w:space="0" w:color="auto"/>
            </w:tcBorders>
            <w:shd w:val="clear" w:color="B7DEE8"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1701" w:type="dxa"/>
            <w:tcBorders>
              <w:top w:val="single" w:sz="4" w:space="0" w:color="auto"/>
              <w:left w:val="nil"/>
              <w:bottom w:val="single" w:sz="4" w:space="0" w:color="auto"/>
              <w:right w:val="single" w:sz="4" w:space="0" w:color="auto"/>
            </w:tcBorders>
            <w:shd w:val="clear" w:color="B7DEE8"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1701" w:type="dxa"/>
            <w:tcBorders>
              <w:top w:val="single" w:sz="4" w:space="0" w:color="auto"/>
              <w:left w:val="nil"/>
              <w:bottom w:val="single" w:sz="4" w:space="0" w:color="auto"/>
              <w:right w:val="single" w:sz="4" w:space="0" w:color="auto"/>
            </w:tcBorders>
            <w:shd w:val="clear" w:color="B7DEE8" w:fill="D9D9D9"/>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r>
      <w:tr>
        <w:tblPrEx>
          <w:tblW w:w="11893" w:type="dxa"/>
          <w:jc w:val="center"/>
          <w:tblCellMar>
            <w:left w:w="70" w:type="dxa"/>
            <w:right w:w="70" w:type="dxa"/>
          </w:tblCellMar>
          <w:tblLook w:val="04A0"/>
        </w:tblPrEx>
        <w:trPr>
          <w:trHeight w:val="227"/>
          <w:jc w:val="center"/>
        </w:trPr>
        <w:tc>
          <w:tcPr>
            <w:tcW w:w="0" w:type="auto"/>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2025</w:t>
            </w:r>
          </w:p>
        </w:tc>
        <w:tc>
          <w:tcPr>
            <w:tcW w:w="2098"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130 673 790,88</w:t>
            </w:r>
          </w:p>
        </w:tc>
        <w:tc>
          <w:tcPr>
            <w:tcW w:w="2098"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1 136 380 964,00</w:t>
            </w:r>
          </w:p>
        </w:tc>
        <w:tc>
          <w:tcPr>
            <w:tcW w:w="2098"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13 705 388 023,00</w:t>
            </w:r>
          </w:p>
        </w:tc>
        <w:tc>
          <w:tcPr>
            <w:tcW w:w="1701" w:type="dxa"/>
            <w:tcBorders>
              <w:top w:val="nil"/>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10 834 805,13</w:t>
            </w:r>
          </w:p>
        </w:tc>
        <w:tc>
          <w:tcPr>
            <w:tcW w:w="1701"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10 838 290</w:t>
            </w:r>
          </w:p>
        </w:tc>
        <w:tc>
          <w:tcPr>
            <w:tcW w:w="1701"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3 485</w:t>
            </w:r>
          </w:p>
        </w:tc>
      </w:tr>
      <w:tr>
        <w:tblPrEx>
          <w:tblW w:w="11893" w:type="dxa"/>
          <w:jc w:val="center"/>
          <w:tblCellMar>
            <w:left w:w="70" w:type="dxa"/>
            <w:right w:w="70" w:type="dxa"/>
          </w:tblCellMar>
          <w:tblLook w:val="04A0"/>
        </w:tblPrEx>
        <w:trPr>
          <w:trHeight w:val="227"/>
          <w:jc w:val="center"/>
        </w:trPr>
        <w:tc>
          <w:tcPr>
            <w:tcW w:w="0" w:type="auto"/>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2026</w:t>
            </w:r>
          </w:p>
        </w:tc>
        <w:tc>
          <w:tcPr>
            <w:tcW w:w="2098"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81 004 312,75</w:t>
            </w:r>
          </w:p>
        </w:tc>
        <w:tc>
          <w:tcPr>
            <w:tcW w:w="2098"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1 125 657 924,00</w:t>
            </w:r>
          </w:p>
        </w:tc>
        <w:tc>
          <w:tcPr>
            <w:tcW w:w="2098"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14 133 187 524,00</w:t>
            </w:r>
          </w:p>
        </w:tc>
        <w:tc>
          <w:tcPr>
            <w:tcW w:w="1701" w:type="dxa"/>
            <w:tcBorders>
              <w:top w:val="nil"/>
              <w:left w:val="nil"/>
              <w:bottom w:val="single" w:sz="8"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6 451 704,29</w:t>
            </w:r>
          </w:p>
        </w:tc>
        <w:tc>
          <w:tcPr>
            <w:tcW w:w="1701"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6 455 047</w:t>
            </w:r>
          </w:p>
        </w:tc>
        <w:tc>
          <w:tcPr>
            <w:tcW w:w="1701"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3 343</w:t>
            </w:r>
          </w:p>
        </w:tc>
      </w:tr>
    </w:tbl>
    <w:p>
      <w:pPr>
        <w:keepNext w:val="0"/>
        <w:keepLines w:val="0"/>
        <w:widowControl/>
        <w:suppressLineNumbers w:val="0"/>
        <w:shd w:val="clear" w:color="auto" w:fill="FFFFFF"/>
        <w:suppressAutoHyphens w:val="0"/>
        <w:spacing w:before="24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Na lata 2027-2029 przyjęto metodologię wyliczenia potrzeb rozwojowych opartą o potrzeby rozwojowe przyznane miastu na rok 2026 i zwaloryzowano o wskaźnik CPI, tj. cen towarów i usług konsumpcyjnych (zgodny z wytycznymi MF) ze względu na brak danych w zakresie kształtowania się wartości wydatków majątkowych (faktycznych jak i przeliczeniowych) wszystkich miast na prawach powiatu w kolejnych latach objętych prognozą.</w:t>
      </w:r>
    </w:p>
    <w:tbl>
      <w:tblPr>
        <w:tblStyle w:val="TableNormal"/>
        <w:tblW w:w="10420"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1394"/>
        <w:gridCol w:w="1659"/>
        <w:gridCol w:w="1661"/>
        <w:gridCol w:w="1965"/>
        <w:gridCol w:w="1716"/>
        <w:gridCol w:w="2005"/>
      </w:tblGrid>
      <w:tr>
        <w:tblPrEx>
          <w:tblW w:w="10420"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Ex>
        <w:trPr>
          <w:trHeight w:val="227"/>
        </w:trPr>
        <w:tc>
          <w:tcPr>
            <w:tcW w:w="1400"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p>
        </w:tc>
        <w:tc>
          <w:tcPr>
            <w:tcW w:w="1620"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Część podstawowa</w:t>
            </w:r>
          </w:p>
        </w:tc>
        <w:tc>
          <w:tcPr>
            <w:tcW w:w="1620"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Część inwestycyjna</w:t>
            </w:r>
          </w:p>
        </w:tc>
        <w:tc>
          <w:tcPr>
            <w:tcW w:w="2000"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RAZEM potrzeby rozwojowe wg MF</w:t>
            </w:r>
          </w:p>
        </w:tc>
        <w:tc>
          <w:tcPr>
            <w:tcW w:w="1760"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CPI</w:t>
            </w:r>
          </w:p>
        </w:tc>
        <w:tc>
          <w:tcPr>
            <w:tcW w:w="2020"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prognoza potrzeb rozwojowych na lata 2027-2029</w:t>
            </w:r>
          </w:p>
        </w:tc>
      </w:tr>
      <w:tr>
        <w:tblPrEx>
          <w:tblW w:w="10420" w:type="dxa"/>
          <w:tblInd w:w="60" w:type="dxa"/>
          <w:tblCellMar>
            <w:left w:w="70" w:type="dxa"/>
            <w:right w:w="70" w:type="dxa"/>
          </w:tblCellMar>
          <w:tblLook w:val="04A0"/>
        </w:tblPrEx>
        <w:trPr>
          <w:trHeight w:val="227"/>
        </w:trPr>
        <w:tc>
          <w:tcPr>
            <w:tcW w:w="1400"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2025</w:t>
            </w:r>
          </w:p>
        </w:tc>
        <w:tc>
          <w:tcPr>
            <w:tcW w:w="1620"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20 382 843</w:t>
            </w:r>
          </w:p>
        </w:tc>
        <w:tc>
          <w:tcPr>
            <w:tcW w:w="1620"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10 838 290</w:t>
            </w:r>
          </w:p>
        </w:tc>
        <w:tc>
          <w:tcPr>
            <w:tcW w:w="2000"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31 221 133</w:t>
            </w:r>
          </w:p>
        </w:tc>
        <w:tc>
          <w:tcPr>
            <w:tcW w:w="1760" w:type="dxa"/>
            <w:shd w:val="clear" w:color="000000" w:fill="D8D8D8"/>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2020" w:type="dxa"/>
            <w:shd w:val="clear" w:color="000000" w:fill="D8D8D8"/>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r>
      <w:tr>
        <w:tblPrEx>
          <w:tblW w:w="10420" w:type="dxa"/>
          <w:tblInd w:w="60" w:type="dxa"/>
          <w:tblCellMar>
            <w:left w:w="70" w:type="dxa"/>
            <w:right w:w="70" w:type="dxa"/>
          </w:tblCellMar>
          <w:tblLook w:val="04A0"/>
        </w:tblPrEx>
        <w:trPr>
          <w:trHeight w:val="227"/>
        </w:trPr>
        <w:tc>
          <w:tcPr>
            <w:tcW w:w="1400"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2026</w:t>
            </w:r>
          </w:p>
        </w:tc>
        <w:tc>
          <w:tcPr>
            <w:tcW w:w="1620"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20 272 315</w:t>
            </w:r>
          </w:p>
        </w:tc>
        <w:tc>
          <w:tcPr>
            <w:tcW w:w="1620"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6 455 047</w:t>
            </w:r>
          </w:p>
        </w:tc>
        <w:tc>
          <w:tcPr>
            <w:tcW w:w="2000"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26 727 362</w:t>
            </w:r>
          </w:p>
        </w:tc>
        <w:tc>
          <w:tcPr>
            <w:tcW w:w="1760" w:type="dxa"/>
            <w:shd w:val="clear" w:color="000000" w:fill="D8D8D8"/>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2020" w:type="dxa"/>
            <w:shd w:val="clear" w:color="000000" w:fill="D8D8D8"/>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r>
      <w:tr>
        <w:tblPrEx>
          <w:tblW w:w="10420" w:type="dxa"/>
          <w:tblInd w:w="60" w:type="dxa"/>
          <w:tblCellMar>
            <w:left w:w="70" w:type="dxa"/>
            <w:right w:w="70" w:type="dxa"/>
          </w:tblCellMar>
          <w:tblLook w:val="04A0"/>
        </w:tblPrEx>
        <w:trPr>
          <w:trHeight w:val="227"/>
        </w:trPr>
        <w:tc>
          <w:tcPr>
            <w:tcW w:w="1400"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2027</w:t>
            </w:r>
          </w:p>
        </w:tc>
        <w:tc>
          <w:tcPr>
            <w:tcW w:w="1620" w:type="dxa"/>
            <w:shd w:val="clear" w:color="000000" w:fill="D8D8D8"/>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1620" w:type="dxa"/>
            <w:shd w:val="clear" w:color="000000" w:fill="D8D8D8"/>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2000" w:type="dxa"/>
            <w:shd w:val="clear" w:color="000000" w:fill="D8D8D8"/>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1760"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2,60%</w:t>
            </w:r>
          </w:p>
        </w:tc>
        <w:tc>
          <w:tcPr>
            <w:tcW w:w="2020"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27 422 273</w:t>
            </w:r>
          </w:p>
        </w:tc>
      </w:tr>
      <w:tr>
        <w:tblPrEx>
          <w:tblW w:w="10420" w:type="dxa"/>
          <w:tblInd w:w="60" w:type="dxa"/>
          <w:tblCellMar>
            <w:left w:w="70" w:type="dxa"/>
            <w:right w:w="70" w:type="dxa"/>
          </w:tblCellMar>
          <w:tblLook w:val="04A0"/>
        </w:tblPrEx>
        <w:trPr>
          <w:trHeight w:val="227"/>
        </w:trPr>
        <w:tc>
          <w:tcPr>
            <w:tcW w:w="1400"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2028</w:t>
            </w:r>
          </w:p>
        </w:tc>
        <w:tc>
          <w:tcPr>
            <w:tcW w:w="1620" w:type="dxa"/>
            <w:shd w:val="clear" w:color="000000" w:fill="D8D8D8"/>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1620" w:type="dxa"/>
            <w:shd w:val="clear" w:color="000000" w:fill="D8D8D8"/>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2000" w:type="dxa"/>
            <w:shd w:val="clear" w:color="000000" w:fill="D8D8D8"/>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1760"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2,50%</w:t>
            </w:r>
          </w:p>
        </w:tc>
        <w:tc>
          <w:tcPr>
            <w:tcW w:w="2020"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28 107 830</w:t>
            </w:r>
          </w:p>
        </w:tc>
      </w:tr>
      <w:tr>
        <w:tblPrEx>
          <w:tblW w:w="10420" w:type="dxa"/>
          <w:tblInd w:w="60" w:type="dxa"/>
          <w:tblCellMar>
            <w:left w:w="70" w:type="dxa"/>
            <w:right w:w="70" w:type="dxa"/>
          </w:tblCellMar>
          <w:tblLook w:val="04A0"/>
        </w:tblPrEx>
        <w:trPr>
          <w:trHeight w:val="227"/>
        </w:trPr>
        <w:tc>
          <w:tcPr>
            <w:tcW w:w="1400"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2029</w:t>
            </w:r>
          </w:p>
        </w:tc>
        <w:tc>
          <w:tcPr>
            <w:tcW w:w="1620" w:type="dxa"/>
            <w:shd w:val="clear" w:color="000000" w:fill="D8D8D8"/>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1620" w:type="dxa"/>
            <w:shd w:val="clear" w:color="000000" w:fill="D8D8D8"/>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2000" w:type="dxa"/>
            <w:shd w:val="clear" w:color="000000" w:fill="D8D8D8"/>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1760"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2,40%</w:t>
            </w:r>
          </w:p>
        </w:tc>
        <w:tc>
          <w:tcPr>
            <w:tcW w:w="2020" w:type="dxa"/>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28 782 418</w:t>
            </w:r>
          </w:p>
        </w:tc>
      </w:tr>
    </w:tbl>
    <w:p>
      <w:pPr>
        <w:keepNext w:val="0"/>
        <w:keepLines w:val="0"/>
        <w:widowControl/>
        <w:suppressLineNumbers w:val="0"/>
        <w:shd w:val="clear" w:color="auto" w:fill="FFFFFF"/>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 xml:space="preserve">Zaznaczenia wymaga fakt, że system wyliczania potrzeb rozwojowych jest zaprojektowany w sposób, który przyznaje większe potrzeby rozwojowe w części inwestycyjnej samorządom finansującym wydatki majątkowe w większym stopniu ze środków własnych. </w:t>
      </w:r>
    </w:p>
    <w:p>
      <w:pPr>
        <w:keepNext w:val="0"/>
        <w:keepLines w:val="0"/>
        <w:widowControl/>
        <w:suppressLineNumbers w:val="0"/>
        <w:shd w:val="clear" w:color="auto" w:fill="FFFFFF"/>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W efekcie przeliczeniowe wydatki majątkowe JST, które finansują inwestycje z pozyskanych środków zewnętrznych są mniejsze aniżeli te, finansowane ze środków własnych. Dlatego mniej zamożne JST, które aby zapewnić rozwój swojego samorządu są zmuszone do poszukiwania zewnętrznych źródeł finansowania inwestycji, tracą część potrzeb rozwojowych, a co za tym idzie uniemożliwia im się finansowanie kolejnych inwestycji ze środków własnych (w całości lub częściowo).</w:t>
      </w:r>
    </w:p>
    <w:p>
      <w:pPr>
        <w:keepNext w:val="0"/>
        <w:keepLines w:val="0"/>
        <w:widowControl/>
        <w:suppressLineNumbers w:val="0"/>
        <w:shd w:val="clear" w:color="auto" w:fill="FFFFFF"/>
        <w:suppressAutoHyphens w:val="0"/>
        <w:spacing w:before="24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b/>
          <w:szCs w:val="20"/>
          <w:lang w:bidi="ar-SA"/>
        </w:rPr>
        <w:t>4) POTRZEBY EKOLOGICZNE</w:t>
      </w:r>
      <w:r>
        <w:rPr>
          <w:rFonts w:eastAsia="Times New Roman" w:cs="Times New Roman"/>
          <w:szCs w:val="20"/>
          <w:lang w:bidi="ar-SA"/>
        </w:rPr>
        <w:t xml:space="preserve"> </w:t>
      </w:r>
    </w:p>
    <w:p>
      <w:pPr>
        <w:keepNext w:val="0"/>
        <w:keepLines w:val="0"/>
        <w:widowControl/>
        <w:suppressLineNumbers w:val="0"/>
        <w:shd w:val="clear" w:color="auto" w:fill="FFFFFF"/>
        <w:suppressAutoHyphens w:val="0"/>
        <w:spacing w:before="0" w:beforeAutospacing="0" w:after="12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 xml:space="preserve">Potrzeby ekologiczne na rok 2026 wyliczone zostały dla Bytomia zgodnie z art. 29 ustawy o dochodach jst, tj. mnożąc stawkę bazową za 1 ha powierzchni obszaru prawnie chronionego przez przeliczeniową powierzchnię obszarów prawnie chronionych znajdujących się na terenie Bytomia. </w:t>
      </w:r>
    </w:p>
    <w:p>
      <w:pPr>
        <w:keepNext w:val="0"/>
        <w:keepLines w:val="0"/>
        <w:widowControl/>
        <w:suppressLineNumbers w:val="0"/>
        <w:shd w:val="clear" w:color="auto" w:fill="FFFFFF"/>
        <w:suppressAutoHyphens w:val="0"/>
        <w:spacing w:before="0" w:beforeAutospacing="0" w:after="12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Przeliczeniowa powierzchnia obszarów prawnie chronionych to suma iloczynów powierzchni obszarów prawnie chronionych i wag określonych w ustawie, co dla Bytomia prezentuje się następująco:</w:t>
      </w:r>
    </w:p>
    <w:tbl>
      <w:tblPr>
        <w:tblStyle w:val="TableNormal"/>
        <w:tblW w:w="14877"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2089"/>
        <w:gridCol w:w="1071"/>
        <w:gridCol w:w="1058"/>
        <w:gridCol w:w="2756"/>
        <w:gridCol w:w="1140"/>
        <w:gridCol w:w="2585"/>
        <w:gridCol w:w="1407"/>
        <w:gridCol w:w="1277"/>
        <w:gridCol w:w="15"/>
        <w:gridCol w:w="1459"/>
      </w:tblGrid>
      <w:tr>
        <w:tblPrEx>
          <w:tblW w:w="14877"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Ex>
        <w:trPr>
          <w:cantSplit/>
          <w:trHeight w:val="454"/>
        </w:trPr>
        <w:tc>
          <w:tcPr>
            <w:tcW w:w="2117"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Rok 2026</w:t>
            </w:r>
          </w:p>
        </w:tc>
        <w:tc>
          <w:tcPr>
            <w:tcW w:w="966"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 xml:space="preserve"> Parki Narodowe </w:t>
            </w:r>
          </w:p>
        </w:tc>
        <w:tc>
          <w:tcPr>
            <w:tcW w:w="945"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 xml:space="preserve"> Rezerwaty </w:t>
            </w:r>
          </w:p>
        </w:tc>
        <w:tc>
          <w:tcPr>
            <w:tcW w:w="2925"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 xml:space="preserve"> Parki Krajobrazowe i Obszary chronionego krajobrazu, na których ustanowiono przynajmniej pięć zakazów wybranych spośród zakazów, o których mowa w art. 17 ust. 1 pkt 1 i 4-9 lub art. 24 ust. 1 pkt 2 i 4-9 ustawy o ochronie przyrody </w:t>
            </w:r>
          </w:p>
        </w:tc>
        <w:tc>
          <w:tcPr>
            <w:tcW w:w="1077"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 xml:space="preserve"> Natura 2000 </w:t>
            </w:r>
          </w:p>
        </w:tc>
        <w:tc>
          <w:tcPr>
            <w:tcW w:w="2721"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 xml:space="preserve"> Parki Krajobrazowe i Obszary chronionego krajobrazu, na których ustanowiono przynajmniej jeden z zakazów wybrany spośród zakazów, o których mowa w art. 17 ust. 1 pkt 1 i 4-9 lub art. 24 ust. 1 pkt 2 i 4-9 ustawy o ochronie przyrody </w:t>
            </w:r>
          </w:p>
        </w:tc>
        <w:tc>
          <w:tcPr>
            <w:tcW w:w="1305"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Razem przeliczeniowa powierzchnia</w:t>
            </w:r>
          </w:p>
        </w:tc>
        <w:tc>
          <w:tcPr>
            <w:tcW w:w="1389" w:type="dxa"/>
            <w:gridSpan w:val="2"/>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 xml:space="preserve"> stawka bazowa za 1 ha powierzchni obszaru prawnie chronionego dla MNPP na 2025 </w:t>
            </w:r>
          </w:p>
        </w:tc>
        <w:tc>
          <w:tcPr>
            <w:tcW w:w="1399"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 xml:space="preserve"> stawka bazowa za 1 ha powierzchni obszaru prawnie chronionego dla MNPP na 2026 </w:t>
            </w:r>
          </w:p>
        </w:tc>
      </w:tr>
      <w:tr>
        <w:tblPrEx>
          <w:tblW w:w="14877" w:type="dxa"/>
          <w:tblInd w:w="60" w:type="dxa"/>
          <w:tblCellMar>
            <w:left w:w="70" w:type="dxa"/>
            <w:right w:w="70" w:type="dxa"/>
          </w:tblCellMar>
          <w:tblLook w:val="04A0"/>
        </w:tblPrEx>
        <w:trPr>
          <w:cantSplit/>
          <w:trHeight w:val="227"/>
        </w:trPr>
        <w:tc>
          <w:tcPr>
            <w:tcW w:w="2117"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waga</w:t>
            </w:r>
          </w:p>
        </w:tc>
        <w:tc>
          <w:tcPr>
            <w:tcW w:w="966"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w:t>
            </w:r>
          </w:p>
        </w:tc>
        <w:tc>
          <w:tcPr>
            <w:tcW w:w="945"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1</w:t>
            </w:r>
          </w:p>
        </w:tc>
        <w:tc>
          <w:tcPr>
            <w:tcW w:w="2925"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0,3</w:t>
            </w:r>
          </w:p>
        </w:tc>
        <w:tc>
          <w:tcPr>
            <w:tcW w:w="1077"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0,15</w:t>
            </w:r>
          </w:p>
        </w:tc>
        <w:tc>
          <w:tcPr>
            <w:tcW w:w="2721"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0,1</w:t>
            </w:r>
          </w:p>
        </w:tc>
        <w:tc>
          <w:tcPr>
            <w:tcW w:w="1305" w:type="dxa"/>
            <w:shd w:val="clear" w:color="BFBFBF" w:fill="C0C0C0"/>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 </w:t>
            </w:r>
          </w:p>
        </w:tc>
        <w:tc>
          <w:tcPr>
            <w:tcW w:w="1389" w:type="dxa"/>
            <w:gridSpan w:val="2"/>
            <w:shd w:val="clear" w:color="BFBFBF" w:fill="C0C0C0"/>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 </w:t>
            </w:r>
          </w:p>
        </w:tc>
        <w:tc>
          <w:tcPr>
            <w:tcW w:w="1399" w:type="dxa"/>
            <w:shd w:val="clear" w:color="BFBFBF" w:fill="C0C0C0"/>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 </w:t>
            </w:r>
          </w:p>
        </w:tc>
      </w:tr>
      <w:tr>
        <w:tblPrEx>
          <w:tblW w:w="14877" w:type="dxa"/>
          <w:tblInd w:w="60" w:type="dxa"/>
          <w:tblCellMar>
            <w:left w:w="70" w:type="dxa"/>
            <w:right w:w="70" w:type="dxa"/>
          </w:tblCellMar>
          <w:tblLook w:val="04A0"/>
        </w:tblPrEx>
        <w:trPr>
          <w:cantSplit/>
          <w:trHeight w:val="227"/>
        </w:trPr>
        <w:tc>
          <w:tcPr>
            <w:tcW w:w="2117"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faktyczna powierzchnia obszarów prawnie chronionych</w:t>
            </w:r>
          </w:p>
        </w:tc>
        <w:tc>
          <w:tcPr>
            <w:tcW w:w="966"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 0</w:t>
            </w:r>
          </w:p>
        </w:tc>
        <w:tc>
          <w:tcPr>
            <w:tcW w:w="945"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82,52</w:t>
            </w:r>
          </w:p>
        </w:tc>
        <w:tc>
          <w:tcPr>
            <w:tcW w:w="2925"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 0</w:t>
            </w:r>
          </w:p>
        </w:tc>
        <w:tc>
          <w:tcPr>
            <w:tcW w:w="1077"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757,02</w:t>
            </w:r>
          </w:p>
        </w:tc>
        <w:tc>
          <w:tcPr>
            <w:tcW w:w="2721"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 0</w:t>
            </w:r>
          </w:p>
        </w:tc>
        <w:tc>
          <w:tcPr>
            <w:tcW w:w="1305" w:type="dxa"/>
            <w:shd w:val="clear" w:color="BFBFBF" w:fill="C0C0C0"/>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 </w:t>
            </w:r>
          </w:p>
        </w:tc>
        <w:tc>
          <w:tcPr>
            <w:tcW w:w="1389" w:type="dxa"/>
            <w:gridSpan w:val="2"/>
            <w:shd w:val="clear" w:color="BFBFBF" w:fill="C0C0C0"/>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 </w:t>
            </w:r>
          </w:p>
        </w:tc>
        <w:tc>
          <w:tcPr>
            <w:tcW w:w="1399" w:type="dxa"/>
            <w:shd w:val="clear" w:color="BFBFBF" w:fill="C0C0C0"/>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 </w:t>
            </w:r>
          </w:p>
        </w:tc>
      </w:tr>
      <w:tr>
        <w:tblPrEx>
          <w:tblW w:w="14877" w:type="dxa"/>
          <w:tblInd w:w="60" w:type="dxa"/>
          <w:tblCellMar>
            <w:left w:w="70" w:type="dxa"/>
            <w:right w:w="70" w:type="dxa"/>
          </w:tblCellMar>
          <w:tblLook w:val="04A0"/>
        </w:tblPrEx>
        <w:trPr>
          <w:cantSplit/>
          <w:trHeight w:val="227"/>
        </w:trPr>
        <w:tc>
          <w:tcPr>
            <w:tcW w:w="2117" w:type="dxa"/>
            <w:tcBorders>
              <w:bottom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przeliczeniowa powierzchnia obszarów prawnie chronionych</w:t>
            </w:r>
          </w:p>
        </w:tc>
        <w:tc>
          <w:tcPr>
            <w:tcW w:w="966" w:type="dxa"/>
            <w:tcBorders>
              <w:bottom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0</w:t>
            </w:r>
          </w:p>
        </w:tc>
        <w:tc>
          <w:tcPr>
            <w:tcW w:w="945" w:type="dxa"/>
            <w:tcBorders>
              <w:bottom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82,52</w:t>
            </w:r>
          </w:p>
        </w:tc>
        <w:tc>
          <w:tcPr>
            <w:tcW w:w="2925" w:type="dxa"/>
            <w:tcBorders>
              <w:bottom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0</w:t>
            </w:r>
          </w:p>
        </w:tc>
        <w:tc>
          <w:tcPr>
            <w:tcW w:w="1077" w:type="dxa"/>
            <w:tcBorders>
              <w:bottom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113,553</w:t>
            </w:r>
          </w:p>
        </w:tc>
        <w:tc>
          <w:tcPr>
            <w:tcW w:w="2721" w:type="dxa"/>
            <w:tcBorders>
              <w:bottom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0</w:t>
            </w:r>
          </w:p>
        </w:tc>
        <w:tc>
          <w:tcPr>
            <w:tcW w:w="1305" w:type="dxa"/>
            <w:tcBorders>
              <w:bottom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196,073</w:t>
            </w:r>
          </w:p>
        </w:tc>
        <w:tc>
          <w:tcPr>
            <w:tcW w:w="1389" w:type="dxa"/>
            <w:gridSpan w:val="2"/>
            <w:tcBorders>
              <w:bottom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310</w:t>
            </w:r>
          </w:p>
        </w:tc>
        <w:tc>
          <w:tcPr>
            <w:tcW w:w="1399" w:type="dxa"/>
            <w:tcBorders>
              <w:bottom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323,95</w:t>
            </w:r>
          </w:p>
        </w:tc>
      </w:tr>
      <w:tr>
        <w:tblPrEx>
          <w:tblW w:w="14877" w:type="dxa"/>
          <w:tblInd w:w="60" w:type="dxa"/>
          <w:tblCellMar>
            <w:left w:w="70" w:type="dxa"/>
            <w:right w:w="70" w:type="dxa"/>
          </w:tblCellMar>
          <w:tblLook w:val="04A0"/>
        </w:tblPrEx>
        <w:trPr>
          <w:cantSplit/>
          <w:trHeight w:val="227"/>
        </w:trPr>
        <w:tc>
          <w:tcPr>
            <w:tcW w:w="2117" w:type="dxa"/>
            <w:tcBorders>
              <w:bottom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9942" w:type="dxa"/>
            <w:gridSpan w:val="6"/>
            <w:tcBorders>
              <w:bottom w:val="single" w:sz="4" w:space="0" w:color="auto"/>
            </w:tcBorders>
            <w:shd w:val="clear" w:color="BFBFBF" w:fill="C0C0C0"/>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 </w:t>
            </w:r>
          </w:p>
        </w:tc>
        <w:tc>
          <w:tcPr>
            <w:tcW w:w="1185" w:type="dxa"/>
            <w:tcBorders>
              <w:bottom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60 782,63</w:t>
            </w:r>
          </w:p>
        </w:tc>
        <w:tc>
          <w:tcPr>
            <w:tcW w:w="1615" w:type="dxa"/>
            <w:gridSpan w:val="2"/>
            <w:tcBorders>
              <w:bottom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63 517,85</w:t>
            </w:r>
          </w:p>
        </w:tc>
      </w:tr>
      <w:tr>
        <w:tblPrEx>
          <w:tblW w:w="14877" w:type="dxa"/>
          <w:tblInd w:w="60" w:type="dxa"/>
          <w:tblCellMar>
            <w:left w:w="70" w:type="dxa"/>
            <w:right w:w="70" w:type="dxa"/>
          </w:tblCellMar>
          <w:tblLook w:val="04A0"/>
        </w:tblPrEx>
        <w:trPr>
          <w:cantSplit/>
          <w:trHeight w:val="227"/>
        </w:trPr>
        <w:tc>
          <w:tcPr>
            <w:tcW w:w="14877" w:type="dxa"/>
            <w:gridSpan w:val="10"/>
            <w:tcBorders>
              <w:top w:val="nil"/>
              <w:left w:val="nil"/>
              <w:bottom w:val="nil"/>
              <w:right w:val="nil"/>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wg MF</w:t>
            </w:r>
            <w:r>
              <w:rPr>
                <w:rFonts w:eastAsia="Times New Roman" w:cs="Times New Roman"/>
                <w:sz w:val="16"/>
                <w:szCs w:val="20"/>
              </w:rPr>
              <w:t xml:space="preserve"> </w:t>
            </w:r>
            <w:r>
              <w:rPr>
                <w:rFonts w:eastAsia="Times New Roman" w:cs="Times New Roman"/>
                <w:sz w:val="16"/>
                <w:szCs w:val="20"/>
                <w:lang w:bidi="ar-SA"/>
              </w:rPr>
              <w:t>63 518,00</w:t>
            </w:r>
          </w:p>
        </w:tc>
      </w:tr>
    </w:tbl>
    <w:p>
      <w:pPr>
        <w:keepNext w:val="0"/>
        <w:keepLines w:val="0"/>
        <w:widowControl/>
        <w:suppressLineNumbers w:val="0"/>
        <w:shd w:val="clear" w:color="auto" w:fill="FFFFFF"/>
        <w:suppressAutoHyphens w:val="0"/>
        <w:spacing w:before="240" w:beforeAutospacing="0" w:after="12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Stawka bazowa za 1 ha powierzchni obszaru prawnie chronionego wynosi w 2026 roku dla MNPP 323,95 zł. Kwotę stanowi stawka z roku 2025 wynosząca 310 zł (określona w art. 84 ustawy), zwaloryzowana o 4,5% zgodnie z Komunikatem Prezesa GUS z dnia 15 lipca 2025 r. w sprawie wskaźnika cen towarów i usług konsumpcyjnych w pierwszym półroczu 2025 r.</w:t>
      </w:r>
    </w:p>
    <w:p>
      <w:pPr>
        <w:keepNext w:val="0"/>
        <w:keepLines w:val="0"/>
        <w:widowControl/>
        <w:suppressLineNumbers w:val="0"/>
        <w:shd w:val="clear" w:color="auto" w:fill="FFFFFF"/>
        <w:suppressAutoHyphens w:val="0"/>
        <w:spacing w:before="0" w:beforeAutospacing="0" w:after="12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Na lata 2027-2029 przyjęto dla Bytomia potrzeby ekologiczne na poziomie z roku 2026, przy założeniu corocznej waloryzacji o wskaźnik 4,5% tj. ostatni ogłoszony wskaźnik waloryzacji dla tej kategorii potrzeb, zgodnie z poniższą tabelą:</w:t>
      </w:r>
    </w:p>
    <w:tbl>
      <w:tblPr>
        <w:tblStyle w:val="TableNormal"/>
        <w:tblW w:w="11214" w:type="dxa"/>
        <w:jc w:val="center"/>
        <w:tblInd w:w="-18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3945"/>
        <w:gridCol w:w="1155"/>
        <w:gridCol w:w="1470"/>
        <w:gridCol w:w="1931"/>
        <w:gridCol w:w="1399"/>
        <w:gridCol w:w="1293"/>
      </w:tblGrid>
      <w:tr>
        <w:tblPrEx>
          <w:tblW w:w="11214" w:type="dxa"/>
          <w:jc w:val="center"/>
          <w:tblInd w:w="-18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Ex>
        <w:trPr>
          <w:trHeight w:val="340"/>
          <w:jc w:val="center"/>
        </w:trPr>
        <w:tc>
          <w:tcPr>
            <w:tcW w:w="4134"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p>
        </w:tc>
        <w:tc>
          <w:tcPr>
            <w:tcW w:w="1080"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2025</w:t>
            </w:r>
          </w:p>
        </w:tc>
        <w:tc>
          <w:tcPr>
            <w:tcW w:w="1440"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2026</w:t>
            </w:r>
          </w:p>
        </w:tc>
        <w:tc>
          <w:tcPr>
            <w:tcW w:w="1960"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2027</w:t>
            </w:r>
          </w:p>
        </w:tc>
        <w:tc>
          <w:tcPr>
            <w:tcW w:w="1360"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2028</w:t>
            </w:r>
          </w:p>
        </w:tc>
        <w:tc>
          <w:tcPr>
            <w:tcW w:w="1240"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2029</w:t>
            </w:r>
          </w:p>
        </w:tc>
      </w:tr>
      <w:tr>
        <w:tblPrEx>
          <w:tblW w:w="11214" w:type="dxa"/>
          <w:jc w:val="center"/>
          <w:tblInd w:w="-1894" w:type="dxa"/>
          <w:tblCellMar>
            <w:left w:w="70" w:type="dxa"/>
            <w:right w:w="70" w:type="dxa"/>
          </w:tblCellMar>
          <w:tblLook w:val="04A0"/>
        </w:tblPrEx>
        <w:trPr>
          <w:trHeight w:val="340"/>
          <w:jc w:val="center"/>
        </w:trPr>
        <w:tc>
          <w:tcPr>
            <w:tcW w:w="4134"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Potrzeby ekologiczne</w:t>
            </w:r>
          </w:p>
        </w:tc>
        <w:tc>
          <w:tcPr>
            <w:tcW w:w="1080"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60 782,63</w:t>
            </w:r>
          </w:p>
        </w:tc>
        <w:tc>
          <w:tcPr>
            <w:tcW w:w="1440"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63 518</w:t>
            </w:r>
          </w:p>
        </w:tc>
        <w:tc>
          <w:tcPr>
            <w:tcW w:w="1960"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66 376</w:t>
            </w:r>
          </w:p>
        </w:tc>
        <w:tc>
          <w:tcPr>
            <w:tcW w:w="1360"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69 363</w:t>
            </w:r>
          </w:p>
        </w:tc>
        <w:tc>
          <w:tcPr>
            <w:tcW w:w="1240"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72 484</w:t>
            </w:r>
          </w:p>
        </w:tc>
      </w:tr>
      <w:tr>
        <w:tblPrEx>
          <w:tblW w:w="11214" w:type="dxa"/>
          <w:jc w:val="center"/>
          <w:tblInd w:w="-1894" w:type="dxa"/>
          <w:tblCellMar>
            <w:left w:w="70" w:type="dxa"/>
            <w:right w:w="70" w:type="dxa"/>
          </w:tblCellMar>
          <w:tblLook w:val="04A0"/>
        </w:tblPrEx>
        <w:trPr>
          <w:trHeight w:val="340"/>
          <w:jc w:val="center"/>
        </w:trPr>
        <w:tc>
          <w:tcPr>
            <w:tcW w:w="4134"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wskaźnik cen za I półrocze roku poprzedzającego rok budżetowy w stosunku do I półrocza roku bazowego</w:t>
            </w:r>
          </w:p>
        </w:tc>
        <w:tc>
          <w:tcPr>
            <w:tcW w:w="1080"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4,50%</w:t>
            </w:r>
          </w:p>
        </w:tc>
        <w:tc>
          <w:tcPr>
            <w:tcW w:w="1440"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4,50%</w:t>
            </w:r>
          </w:p>
        </w:tc>
        <w:tc>
          <w:tcPr>
            <w:tcW w:w="1960"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4,50%</w:t>
            </w:r>
          </w:p>
        </w:tc>
        <w:tc>
          <w:tcPr>
            <w:tcW w:w="1360"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4,50%</w:t>
            </w:r>
          </w:p>
        </w:tc>
        <w:tc>
          <w:tcPr>
            <w:tcW w:w="1240"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4,50%</w:t>
            </w:r>
          </w:p>
        </w:tc>
      </w:tr>
    </w:tbl>
    <w:p>
      <w:pPr>
        <w:keepNext w:val="0"/>
        <w:keepLines w:val="0"/>
        <w:widowControl/>
        <w:suppressLineNumbers w:val="0"/>
        <w:shd w:val="clear" w:color="auto" w:fill="FFFFFF"/>
        <w:suppressAutoHyphens w:val="0"/>
        <w:spacing w:before="24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Zaznaczyć należy, że przyjęta w ustawie o dochodach jst metodologia wyliczania potrzeb ekologicznych, zależnych jedynie od posiadania obszarów prawnie chronionych zasadniczo dyskryminuje tereny przemysłowe, w tym górnicze i pogórnicze, nie uwzględniając kosztownych potrzeb rewitalizacyjnych obszarów zdegradowanych. Śląsk, a zwłaszcza miasta pogórnicze takie jak Bytom posiadają szczególne potrzeby w zakresie rewitalizacji terenów pogórniczych, co zostało przez ustawodawcę pominięte.</w:t>
      </w:r>
    </w:p>
    <w:p>
      <w:pPr>
        <w:keepNext w:val="0"/>
        <w:keepLines w:val="0"/>
        <w:widowControl/>
        <w:suppressLineNumbers w:val="0"/>
        <w:shd w:val="clear" w:color="auto" w:fill="auto"/>
        <w:suppressAutoHyphens w:val="0"/>
        <w:spacing w:before="0" w:beforeAutospacing="0" w:after="12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 xml:space="preserve">Miasto w korespondencji kierowanej do strony rządowej w 2025 roku we współpracy ze Związkiem Miast Polskich podkreślało, że kategoria ta nie odzwierciedla potrzeb ekologicznych samorządów, a jedynie potrzeby krajobrazowo-wypoczynkowe tych jednostek. Wskazywano również, że rzeczywiste ustalenie potrzeb ekologicznych winno uwzględniać rekultywację terenów poprzemysłowych i zdegradowanych, np. pogórniczych, pohutniczych, pocynkowych, pochemicznych itp. wymagających większych nakładów inwestycyjnych na rekultywację, renaturyzację lub renowację. Postulaty zostały przedstawione stronie rządowej przez KWRiST, nie znajdując jednak zrozumienia i akceptacji. </w:t>
      </w:r>
    </w:p>
    <w:p>
      <w:pPr>
        <w:keepNext w:val="0"/>
        <w:keepLines w:val="0"/>
        <w:widowControl/>
        <w:suppressLineNumbers w:val="0"/>
        <w:shd w:val="clear" w:color="auto" w:fill="FFFFFF"/>
        <w:suppressAutoHyphens w:val="0"/>
        <w:spacing w:before="24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b/>
          <w:szCs w:val="20"/>
          <w:lang w:bidi="ar-SA"/>
        </w:rPr>
        <w:t>5) POTRZEBY UZUPEŁNIAJĄCE</w:t>
      </w:r>
      <w:r>
        <w:rPr>
          <w:rFonts w:eastAsia="Times New Roman" w:cs="Times New Roman"/>
          <w:szCs w:val="20"/>
          <w:lang w:bidi="ar-SA"/>
        </w:rPr>
        <w:t xml:space="preserve"> </w:t>
      </w:r>
    </w:p>
    <w:p>
      <w:pPr>
        <w:keepNext w:val="0"/>
        <w:keepLines w:val="0"/>
        <w:widowControl/>
        <w:suppressLineNumbers w:val="0"/>
        <w:shd w:val="clear" w:color="auto" w:fill="FFFFFF"/>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Potrzeby uzupełniające na rok 2026 zostały wyliczone zgodnie z art. 30 w związku z art. 29 ust. 4 ustawy o dochodach jst. Podstawą do wyliczeń na rok 2026 jest kwota potrzeb uzupełniających na rok 2025 wynikająca ze zaktualizowanych przez MF danych w zakresie potrzeb finansowych przyznanych jednostkom samorządu terytorialnego, następnie zwaloryzowana o 4,5% zgodnie z Komunikatem Prezesa GUS z dnia 15 lipca 2025 r. w sprawie wskaźnika cen towarów i usług konsumpcyjnych w pierwszym półroczu 2025 r.</w:t>
      </w:r>
    </w:p>
    <w:p>
      <w:pPr>
        <w:keepNext w:val="0"/>
        <w:keepLines w:val="0"/>
        <w:widowControl/>
        <w:suppressLineNumbers w:val="0"/>
        <w:shd w:val="clear" w:color="auto" w:fill="FFFFFF"/>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Prognoza wartości potrzeb uzupełniających na kolejne lata została oparta o waloryzację tych potrzeb co roku o wskaźnik 4,5% tj. ostatni ogłoszony wskaźnik waloryzacji dla tej kategorii potrzeb, co przedstawia poniższa tabela:</w:t>
      </w:r>
    </w:p>
    <w:tbl>
      <w:tblPr>
        <w:tblStyle w:val="TableNormal"/>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4972"/>
        <w:gridCol w:w="1531"/>
        <w:gridCol w:w="1531"/>
        <w:gridCol w:w="1304"/>
        <w:gridCol w:w="1304"/>
        <w:gridCol w:w="1304"/>
        <w:gridCol w:w="1304"/>
        <w:gridCol w:w="1304"/>
      </w:tblGrid>
      <w:tr>
        <w:tblPrEx>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Ex>
        <w:trPr>
          <w:cantSplit/>
          <w:trHeight w:val="227"/>
        </w:trPr>
        <w:tc>
          <w:tcPr>
            <w:tcW w:w="4972"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1531"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 xml:space="preserve">2025 </w:t>
              <w:br/>
              <w:t>wg metryczki MF</w:t>
            </w:r>
          </w:p>
        </w:tc>
        <w:tc>
          <w:tcPr>
            <w:tcW w:w="1531"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2025 po aktualizacji MF</w:t>
            </w:r>
          </w:p>
        </w:tc>
        <w:tc>
          <w:tcPr>
            <w:tcW w:w="1304"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2026</w:t>
            </w:r>
          </w:p>
        </w:tc>
        <w:tc>
          <w:tcPr>
            <w:tcW w:w="1304"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2026 wg MF</w:t>
            </w:r>
          </w:p>
        </w:tc>
        <w:tc>
          <w:tcPr>
            <w:tcW w:w="1304"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2027</w:t>
            </w:r>
          </w:p>
        </w:tc>
        <w:tc>
          <w:tcPr>
            <w:tcW w:w="1304"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2028</w:t>
            </w:r>
          </w:p>
        </w:tc>
        <w:tc>
          <w:tcPr>
            <w:tcW w:w="1304"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2029</w:t>
            </w:r>
          </w:p>
        </w:tc>
      </w:tr>
      <w:tr>
        <w:tblPrEx>
          <w:tblW w:w="0" w:type="auto"/>
          <w:tblInd w:w="60" w:type="dxa"/>
          <w:tblLayout w:type="fixed"/>
          <w:tblCellMar>
            <w:left w:w="70" w:type="dxa"/>
            <w:right w:w="70" w:type="dxa"/>
          </w:tblCellMar>
          <w:tblLook w:val="04A0"/>
        </w:tblPrEx>
        <w:trPr>
          <w:cantSplit/>
          <w:trHeight w:val="227"/>
        </w:trPr>
        <w:tc>
          <w:tcPr>
            <w:tcW w:w="4972"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Potrzeby uzupełniające</w:t>
            </w:r>
          </w:p>
        </w:tc>
        <w:tc>
          <w:tcPr>
            <w:tcW w:w="1531"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16 023 162,00</w:t>
            </w:r>
          </w:p>
        </w:tc>
        <w:tc>
          <w:tcPr>
            <w:tcW w:w="1531"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27 203 274,00</w:t>
            </w:r>
          </w:p>
        </w:tc>
        <w:tc>
          <w:tcPr>
            <w:tcW w:w="1304"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28 427 422,00</w:t>
            </w:r>
          </w:p>
        </w:tc>
        <w:tc>
          <w:tcPr>
            <w:tcW w:w="1304"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28 427 442,00</w:t>
            </w:r>
          </w:p>
        </w:tc>
        <w:tc>
          <w:tcPr>
            <w:tcW w:w="1304"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29 706 676,89</w:t>
            </w:r>
          </w:p>
        </w:tc>
        <w:tc>
          <w:tcPr>
            <w:tcW w:w="1304"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31 043 477,35</w:t>
            </w:r>
          </w:p>
        </w:tc>
        <w:tc>
          <w:tcPr>
            <w:tcW w:w="1304"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32 440 433,83</w:t>
            </w:r>
          </w:p>
        </w:tc>
      </w:tr>
      <w:tr>
        <w:tblPrEx>
          <w:tblW w:w="0" w:type="auto"/>
          <w:tblInd w:w="60" w:type="dxa"/>
          <w:tblLayout w:type="fixed"/>
          <w:tblCellMar>
            <w:left w:w="70" w:type="dxa"/>
            <w:right w:w="70" w:type="dxa"/>
          </w:tblCellMar>
          <w:tblLook w:val="04A0"/>
        </w:tblPrEx>
        <w:trPr>
          <w:cantSplit/>
          <w:trHeight w:val="227"/>
        </w:trPr>
        <w:tc>
          <w:tcPr>
            <w:tcW w:w="4972"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wskaźnik cen za I półrocze roku poprzedzającego rok budżetowy w stosunku do I półrocza roku bazowego</w:t>
            </w:r>
          </w:p>
        </w:tc>
        <w:tc>
          <w:tcPr>
            <w:tcW w:w="1531" w:type="dxa"/>
            <w:shd w:val="clear" w:color="auto" w:fill="F2F2F2"/>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1531" w:type="dxa"/>
            <w:shd w:val="clear" w:color="auto" w:fill="F2F2F2"/>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1304"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4,50%</w:t>
            </w:r>
          </w:p>
        </w:tc>
        <w:tc>
          <w:tcPr>
            <w:tcW w:w="1304" w:type="dxa"/>
            <w:shd w:val="clear" w:color="auto" w:fill="F2F2F2"/>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1304"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4,50%</w:t>
            </w:r>
          </w:p>
        </w:tc>
        <w:tc>
          <w:tcPr>
            <w:tcW w:w="1304"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4,50%</w:t>
            </w:r>
          </w:p>
        </w:tc>
        <w:tc>
          <w:tcPr>
            <w:tcW w:w="1304" w:type="dxa"/>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4,50%</w:t>
            </w:r>
          </w:p>
        </w:tc>
      </w:tr>
    </w:tbl>
    <w:p>
      <w:pPr>
        <w:keepNext w:val="0"/>
        <w:keepLines w:val="0"/>
        <w:widowControl/>
        <w:suppressLineNumbers w:val="0"/>
        <w:shd w:val="clear" w:color="auto" w:fill="auto"/>
        <w:suppressAutoHyphens w:val="0"/>
        <w:spacing w:before="24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Prezentację podsumowania w zakresie powyższych założeń, danych i wyliczeń na lata 2025-2029 zawierają poniższe tabele:</w:t>
      </w:r>
    </w:p>
    <w:p>
      <w:pPr>
        <w:keepNext w:val="0"/>
        <w:keepLines w:val="0"/>
        <w:widowControl/>
        <w:suppressLineNumbers w:val="0"/>
        <w:shd w:val="clear" w:color="auto" w:fill="auto"/>
        <w:suppressAutoHyphens w:val="0"/>
        <w:spacing w:before="24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br w:type="page"/>
      </w:r>
    </w:p>
    <w:tbl>
      <w:tblPr>
        <w:tblStyle w:val="TableNormal"/>
        <w:tblW w:w="0" w:type="auto"/>
        <w:jc w:val="center"/>
        <w:tblCellMar>
          <w:left w:w="70" w:type="dxa"/>
          <w:right w:w="70" w:type="dxa"/>
        </w:tblCellMar>
        <w:tblLook w:val="04A0"/>
      </w:tblPr>
      <w:tblGrid>
        <w:gridCol w:w="3570"/>
        <w:gridCol w:w="426"/>
        <w:gridCol w:w="1273"/>
        <w:gridCol w:w="1184"/>
        <w:gridCol w:w="1273"/>
        <w:gridCol w:w="1184"/>
        <w:gridCol w:w="1273"/>
        <w:gridCol w:w="1184"/>
      </w:tblGrid>
      <w:tr>
        <w:tblPrEx>
          <w:tblW w:w="0" w:type="auto"/>
          <w:jc w:val="center"/>
          <w:tblCellMar>
            <w:left w:w="70" w:type="dxa"/>
            <w:right w:w="70" w:type="dxa"/>
          </w:tblCellMar>
          <w:tblLook w:val="04A0"/>
        </w:tblPrEx>
        <w:trPr>
          <w:cantSplit/>
          <w:trHeight w:val="283"/>
          <w:jc w:val="center"/>
        </w:trPr>
        <w:tc>
          <w:tcPr>
            <w:tcW w:w="0" w:type="auto"/>
            <w:tcBorders>
              <w:top w:val="nil"/>
              <w:left w:val="nil"/>
              <w:bottom w:val="nil"/>
              <w:right w:val="nil"/>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p>
        </w:tc>
        <w:tc>
          <w:tcPr>
            <w:tcW w:w="0" w:type="auto"/>
            <w:tcBorders>
              <w:top w:val="nil"/>
              <w:left w:val="nil"/>
              <w:bottom w:val="nil"/>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p>
        </w:tc>
        <w:tc>
          <w:tcPr>
            <w:tcW w:w="0" w:type="auto"/>
            <w:gridSpan w:val="2"/>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2025 – pierwotnie</w:t>
            </w:r>
          </w:p>
        </w:tc>
        <w:tc>
          <w:tcPr>
            <w:tcW w:w="0" w:type="auto"/>
            <w:gridSpan w:val="2"/>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2025 – korekta MF</w:t>
            </w:r>
          </w:p>
        </w:tc>
        <w:tc>
          <w:tcPr>
            <w:tcW w:w="0" w:type="auto"/>
            <w:gridSpan w:val="2"/>
            <w:tcBorders>
              <w:top w:val="single" w:sz="4" w:space="0" w:color="auto"/>
              <w:left w:val="single" w:sz="4" w:space="0" w:color="auto"/>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2026</w:t>
            </w:r>
          </w:p>
        </w:tc>
      </w:tr>
      <w:tr>
        <w:tblPrEx>
          <w:tblW w:w="0" w:type="auto"/>
          <w:jc w:val="center"/>
          <w:tblCellMar>
            <w:left w:w="70" w:type="dxa"/>
            <w:right w:w="70" w:type="dxa"/>
          </w:tblCellMar>
          <w:tblLook w:val="04A0"/>
        </w:tblPrEx>
        <w:trPr>
          <w:cantSplit/>
          <w:trHeight w:val="283"/>
          <w:jc w:val="center"/>
        </w:trPr>
        <w:tc>
          <w:tcPr>
            <w:tcW w:w="0" w:type="auto"/>
            <w:tcBorders>
              <w:top w:val="nil"/>
              <w:left w:val="nil"/>
              <w:bottom w:val="single" w:sz="4" w:space="0" w:color="auto"/>
              <w:right w:val="nil"/>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p>
        </w:tc>
        <w:tc>
          <w:tcPr>
            <w:tcW w:w="0" w:type="auto"/>
            <w:tcBorders>
              <w:top w:val="nil"/>
              <w:left w:val="nil"/>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p>
        </w:tc>
        <w:tc>
          <w:tcPr>
            <w:tcW w:w="0" w:type="auto"/>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PIT</w:t>
            </w:r>
          </w:p>
        </w:tc>
        <w:tc>
          <w:tcPr>
            <w:tcW w:w="0" w:type="auto"/>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CIT</w:t>
            </w:r>
          </w:p>
        </w:tc>
        <w:tc>
          <w:tcPr>
            <w:tcW w:w="0" w:type="auto"/>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PIT</w:t>
            </w:r>
          </w:p>
        </w:tc>
        <w:tc>
          <w:tcPr>
            <w:tcW w:w="0" w:type="auto"/>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CIT</w:t>
            </w:r>
          </w:p>
        </w:tc>
        <w:tc>
          <w:tcPr>
            <w:tcW w:w="0" w:type="auto"/>
            <w:tcBorders>
              <w:top w:val="single" w:sz="4" w:space="0" w:color="auto"/>
              <w:left w:val="single" w:sz="4" w:space="0" w:color="auto"/>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PIT</w:t>
            </w:r>
          </w:p>
        </w:tc>
        <w:tc>
          <w:tcPr>
            <w:tcW w:w="0" w:type="auto"/>
            <w:tcBorders>
              <w:top w:val="single" w:sz="4" w:space="0" w:color="auto"/>
              <w:left w:val="single" w:sz="4" w:space="0" w:color="auto"/>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CIT</w:t>
            </w:r>
          </w:p>
        </w:tc>
      </w:tr>
      <w:tr>
        <w:tblPrEx>
          <w:tblW w:w="0" w:type="auto"/>
          <w:jc w:val="center"/>
          <w:tblCellMar>
            <w:left w:w="70" w:type="dxa"/>
            <w:right w:w="70" w:type="dxa"/>
          </w:tblCellMar>
          <w:tblLook w:val="04A0"/>
        </w:tblPrEx>
        <w:trPr>
          <w:cantSplit/>
          <w:trHeight w:val="227"/>
          <w:jc w:val="center"/>
        </w:trPr>
        <w:tc>
          <w:tcPr>
            <w:tcW w:w="0" w:type="auto"/>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Dochody PIT i CIT wg starej ustawy</w:t>
            </w:r>
          </w:p>
        </w:tc>
        <w:tc>
          <w:tcPr>
            <w:tcW w:w="0" w:type="auto"/>
            <w:tcBorders>
              <w:top w:val="single" w:sz="4" w:space="0" w:color="auto"/>
              <w:left w:val="nil"/>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w zł</w:t>
            </w:r>
          </w:p>
        </w:tc>
        <w:tc>
          <w:tcPr>
            <w:tcW w:w="0" w:type="auto"/>
            <w:gridSpan w:val="2"/>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278 758 517,00</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 </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 </w:t>
            </w:r>
          </w:p>
        </w:tc>
      </w:tr>
      <w:tr>
        <w:tblPrEx>
          <w:tblW w:w="0" w:type="auto"/>
          <w:jc w:val="center"/>
          <w:tblCellMar>
            <w:left w:w="70" w:type="dxa"/>
            <w:right w:w="70" w:type="dxa"/>
          </w:tblCellMar>
          <w:tblLook w:val="04A0"/>
        </w:tblPrEx>
        <w:trPr>
          <w:cantSplit/>
          <w:trHeight w:val="227"/>
          <w:jc w:val="center"/>
        </w:trPr>
        <w:tc>
          <w:tcPr>
            <w:tcW w:w="0" w:type="auto"/>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xml:space="preserve">Dochody PIT i CIT wg nowej ustawy </w:t>
            </w:r>
          </w:p>
        </w:tc>
        <w:tc>
          <w:tcPr>
            <w:tcW w:w="0" w:type="auto"/>
            <w:tcBorders>
              <w:top w:val="single" w:sz="4" w:space="0" w:color="auto"/>
              <w:left w:val="nil"/>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w zł</w:t>
            </w:r>
          </w:p>
        </w:tc>
        <w:tc>
          <w:tcPr>
            <w:tcW w:w="0" w:type="auto"/>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624 897 335,01</w:t>
            </w:r>
          </w:p>
        </w:tc>
        <w:tc>
          <w:tcPr>
            <w:tcW w:w="0" w:type="auto"/>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13 423 871,56</w:t>
            </w:r>
          </w:p>
        </w:tc>
        <w:tc>
          <w:tcPr>
            <w:tcW w:w="0" w:type="auto"/>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624 897 335,01</w:t>
            </w:r>
          </w:p>
        </w:tc>
        <w:tc>
          <w:tcPr>
            <w:tcW w:w="0" w:type="auto"/>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22 500 458,05</w:t>
            </w:r>
          </w:p>
        </w:tc>
        <w:tc>
          <w:tcPr>
            <w:tcW w:w="0" w:type="auto"/>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681 104 624,27</w:t>
            </w:r>
          </w:p>
        </w:tc>
        <w:tc>
          <w:tcPr>
            <w:tcW w:w="0" w:type="auto"/>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16 281 582,44</w:t>
            </w:r>
          </w:p>
        </w:tc>
      </w:tr>
      <w:tr>
        <w:tblPrEx>
          <w:tblW w:w="0" w:type="auto"/>
          <w:jc w:val="center"/>
          <w:tblCellMar>
            <w:left w:w="70" w:type="dxa"/>
            <w:right w:w="70" w:type="dxa"/>
          </w:tblCellMar>
          <w:tblLook w:val="04A0"/>
        </w:tblPrEx>
        <w:trPr>
          <w:cantSplit/>
          <w:trHeight w:val="227"/>
          <w:jc w:val="center"/>
        </w:trPr>
        <w:tc>
          <w:tcPr>
            <w:tcW w:w="0" w:type="auto"/>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RAZEM PIT + CIT</w:t>
            </w:r>
          </w:p>
        </w:tc>
        <w:tc>
          <w:tcPr>
            <w:tcW w:w="0" w:type="auto"/>
            <w:tcBorders>
              <w:top w:val="single" w:sz="4" w:space="0" w:color="auto"/>
              <w:left w:val="nil"/>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 </w:t>
            </w:r>
          </w:p>
        </w:tc>
        <w:tc>
          <w:tcPr>
            <w:tcW w:w="0" w:type="auto"/>
            <w:gridSpan w:val="2"/>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638 321 206,57</w:t>
            </w:r>
          </w:p>
        </w:tc>
        <w:tc>
          <w:tcPr>
            <w:tcW w:w="0" w:type="auto"/>
            <w:gridSpan w:val="2"/>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647 397 793,06</w:t>
            </w:r>
          </w:p>
        </w:tc>
        <w:tc>
          <w:tcPr>
            <w:tcW w:w="0" w:type="auto"/>
            <w:gridSpan w:val="2"/>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697 386 206,71</w:t>
            </w:r>
          </w:p>
        </w:tc>
      </w:tr>
      <w:tr>
        <w:tblPrEx>
          <w:tblW w:w="0" w:type="auto"/>
          <w:jc w:val="center"/>
          <w:tblCellMar>
            <w:left w:w="70" w:type="dxa"/>
            <w:right w:w="70" w:type="dxa"/>
          </w:tblCellMar>
          <w:tblLook w:val="04A0"/>
        </w:tblPrEx>
        <w:trPr>
          <w:cantSplit/>
          <w:trHeight w:val="227"/>
          <w:jc w:val="center"/>
        </w:trPr>
        <w:tc>
          <w:tcPr>
            <w:tcW w:w="0" w:type="auto"/>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xml:space="preserve">Kwota kalkulacyjna </w:t>
            </w:r>
          </w:p>
        </w:tc>
        <w:tc>
          <w:tcPr>
            <w:tcW w:w="0" w:type="auto"/>
            <w:tcBorders>
              <w:top w:val="single" w:sz="4" w:space="0" w:color="auto"/>
              <w:left w:val="nil"/>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w zł</w:t>
            </w:r>
          </w:p>
        </w:tc>
        <w:tc>
          <w:tcPr>
            <w:tcW w:w="0" w:type="auto"/>
            <w:gridSpan w:val="2"/>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359 562 689,57</w:t>
            </w:r>
          </w:p>
        </w:tc>
        <w:tc>
          <w:tcPr>
            <w:tcW w:w="0" w:type="auto"/>
            <w:gridSpan w:val="2"/>
            <w:tcBorders>
              <w:top w:val="single" w:sz="4" w:space="0" w:color="auto"/>
              <w:left w:val="single" w:sz="4" w:space="0" w:color="auto"/>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368 704 502,07</w:t>
            </w:r>
          </w:p>
        </w:tc>
        <w:tc>
          <w:tcPr>
            <w:tcW w:w="0" w:type="auto"/>
            <w:gridSpan w:val="2"/>
            <w:tcBorders>
              <w:top w:val="single" w:sz="4" w:space="0" w:color="auto"/>
              <w:left w:val="nil"/>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397 173 788,43</w:t>
            </w:r>
          </w:p>
        </w:tc>
      </w:tr>
      <w:tr>
        <w:tblPrEx>
          <w:tblW w:w="0" w:type="auto"/>
          <w:jc w:val="center"/>
          <w:tblCellMar>
            <w:left w:w="70" w:type="dxa"/>
            <w:right w:w="70" w:type="dxa"/>
          </w:tblCellMar>
          <w:tblLook w:val="04A0"/>
        </w:tblPrEx>
        <w:trPr>
          <w:cantSplit/>
          <w:trHeight w:val="227"/>
          <w:jc w:val="center"/>
        </w:trPr>
        <w:tc>
          <w:tcPr>
            <w:tcW w:w="0" w:type="auto"/>
            <w:tcBorders>
              <w:top w:val="single" w:sz="4" w:space="0" w:color="auto"/>
              <w:left w:val="single" w:sz="4" w:space="0" w:color="auto"/>
              <w:bottom w:val="single" w:sz="4" w:space="0" w:color="auto"/>
              <w:right w:val="single" w:sz="4" w:space="0" w:color="auto"/>
            </w:tcBorders>
            <w:shd w:val="clear" w:color="auto" w:fill="F2F2F2"/>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Naliczona subwencja ogólna z budżetu państwa</w:t>
            </w:r>
          </w:p>
        </w:tc>
        <w:tc>
          <w:tcPr>
            <w:tcW w:w="0" w:type="auto"/>
            <w:tcBorders>
              <w:top w:val="single" w:sz="4" w:space="0" w:color="auto"/>
              <w:left w:val="nil"/>
              <w:bottom w:val="single" w:sz="4" w:space="0" w:color="auto"/>
              <w:right w:val="single" w:sz="4" w:space="0" w:color="auto"/>
            </w:tcBorders>
            <w:shd w:val="clear" w:color="auto" w:fill="F2F2F2"/>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w zł</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128 296 686,06</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119 066 034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66 650 490</w:t>
            </w:r>
          </w:p>
        </w:tc>
      </w:tr>
      <w:tr>
        <w:tblPrEx>
          <w:tblW w:w="0" w:type="auto"/>
          <w:jc w:val="center"/>
          <w:tblCellMar>
            <w:left w:w="70" w:type="dxa"/>
            <w:right w:w="70" w:type="dxa"/>
          </w:tblCellMar>
          <w:tblLook w:val="04A0"/>
        </w:tblPrEx>
        <w:trPr>
          <w:cantSplit/>
          <w:trHeight w:val="227"/>
          <w:jc w:val="center"/>
        </w:trPr>
        <w:tc>
          <w:tcPr>
            <w:tcW w:w="0" w:type="auto"/>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Różnica względem pierwotnych kwot</w:t>
            </w:r>
          </w:p>
        </w:tc>
        <w:tc>
          <w:tcPr>
            <w:tcW w:w="0" w:type="auto"/>
            <w:tcBorders>
              <w:top w:val="single" w:sz="4" w:space="0" w:color="auto"/>
              <w:left w:val="nil"/>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w zł</w:t>
            </w:r>
          </w:p>
        </w:tc>
        <w:tc>
          <w:tcPr>
            <w:tcW w:w="0" w:type="auto"/>
            <w:gridSpan w:val="2"/>
            <w:tcBorders>
              <w:top w:val="single" w:sz="4" w:space="0" w:color="auto"/>
              <w:left w:val="single" w:sz="4" w:space="0" w:color="auto"/>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 </w:t>
            </w:r>
          </w:p>
        </w:tc>
        <w:tc>
          <w:tcPr>
            <w:tcW w:w="0" w:type="auto"/>
            <w:gridSpan w:val="2"/>
            <w:tcBorders>
              <w:top w:val="single" w:sz="4" w:space="0" w:color="auto"/>
              <w:left w:val="single" w:sz="4" w:space="0" w:color="auto"/>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-9 230 651,97</w:t>
            </w:r>
          </w:p>
        </w:tc>
        <w:tc>
          <w:tcPr>
            <w:tcW w:w="0" w:type="auto"/>
            <w:gridSpan w:val="2"/>
            <w:tcBorders>
              <w:top w:val="single" w:sz="4" w:space="0" w:color="auto"/>
              <w:left w:val="single" w:sz="4" w:space="0" w:color="auto"/>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-61 646 196,49</w:t>
            </w:r>
          </w:p>
        </w:tc>
      </w:tr>
      <w:tr>
        <w:tblPrEx>
          <w:tblW w:w="0" w:type="auto"/>
          <w:jc w:val="center"/>
          <w:tblCellMar>
            <w:left w:w="70" w:type="dxa"/>
            <w:right w:w="70" w:type="dxa"/>
          </w:tblCellMar>
          <w:tblLook w:val="04A0"/>
        </w:tblPrEx>
        <w:trPr>
          <w:cantSplit/>
          <w:trHeight w:val="227"/>
          <w:jc w:val="center"/>
        </w:trPr>
        <w:tc>
          <w:tcPr>
            <w:tcW w:w="0" w:type="auto"/>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Potrzeby finansowe, z tego:</w:t>
            </w:r>
          </w:p>
        </w:tc>
        <w:tc>
          <w:tcPr>
            <w:tcW w:w="0" w:type="auto"/>
            <w:tcBorders>
              <w:top w:val="single" w:sz="4" w:space="0" w:color="auto"/>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w zł</w:t>
            </w:r>
          </w:p>
        </w:tc>
        <w:tc>
          <w:tcPr>
            <w:tcW w:w="0" w:type="auto"/>
            <w:gridSpan w:val="2"/>
            <w:tcBorders>
              <w:top w:val="single" w:sz="4" w:space="0" w:color="auto"/>
              <w:left w:val="single" w:sz="4" w:space="0" w:color="auto"/>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487 859 376</w:t>
            </w:r>
          </w:p>
        </w:tc>
        <w:tc>
          <w:tcPr>
            <w:tcW w:w="0" w:type="auto"/>
            <w:gridSpan w:val="2"/>
            <w:tcBorders>
              <w:top w:val="single" w:sz="4" w:space="0" w:color="auto"/>
              <w:left w:val="single" w:sz="4" w:space="0" w:color="auto"/>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487 770 536</w:t>
            </w:r>
          </w:p>
        </w:tc>
        <w:tc>
          <w:tcPr>
            <w:tcW w:w="0" w:type="auto"/>
            <w:gridSpan w:val="2"/>
            <w:tcBorders>
              <w:top w:val="single" w:sz="4" w:space="0" w:color="auto"/>
              <w:left w:val="single" w:sz="4" w:space="0" w:color="auto"/>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463 824 278</w:t>
            </w:r>
          </w:p>
        </w:tc>
      </w:tr>
      <w:tr>
        <w:tblPrEx>
          <w:tblW w:w="0" w:type="auto"/>
          <w:jc w:val="center"/>
          <w:tblCellMar>
            <w:left w:w="70" w:type="dxa"/>
            <w:right w:w="70" w:type="dxa"/>
          </w:tblCellMar>
          <w:tblLook w:val="04A0"/>
        </w:tblPrEx>
        <w:trPr>
          <w:cantSplit/>
          <w:trHeight w:val="227"/>
          <w:jc w:val="center"/>
        </w:trPr>
        <w:tc>
          <w:tcPr>
            <w:tcW w:w="0" w:type="auto"/>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Różnica względem pierwotnych kwot</w:t>
            </w:r>
          </w:p>
        </w:tc>
        <w:tc>
          <w:tcPr>
            <w:tcW w:w="0" w:type="auto"/>
            <w:tcBorders>
              <w:top w:val="single" w:sz="4" w:space="0" w:color="auto"/>
              <w:left w:val="nil"/>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w zł</w:t>
            </w:r>
          </w:p>
        </w:tc>
        <w:tc>
          <w:tcPr>
            <w:tcW w:w="0" w:type="auto"/>
            <w:gridSpan w:val="2"/>
            <w:tcBorders>
              <w:top w:val="single" w:sz="4" w:space="0" w:color="auto"/>
              <w:left w:val="single" w:sz="4" w:space="0" w:color="auto"/>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 ---</w:t>
            </w:r>
          </w:p>
        </w:tc>
        <w:tc>
          <w:tcPr>
            <w:tcW w:w="0" w:type="auto"/>
            <w:gridSpan w:val="2"/>
            <w:tcBorders>
              <w:top w:val="single" w:sz="4" w:space="0" w:color="auto"/>
              <w:left w:val="single" w:sz="4" w:space="0" w:color="auto"/>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-88 839,47</w:t>
            </w:r>
          </w:p>
        </w:tc>
        <w:tc>
          <w:tcPr>
            <w:tcW w:w="0" w:type="auto"/>
            <w:gridSpan w:val="2"/>
            <w:tcBorders>
              <w:top w:val="single" w:sz="4" w:space="0" w:color="auto"/>
              <w:left w:val="single" w:sz="4" w:space="0" w:color="auto"/>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-24 035 097,63</w:t>
            </w:r>
          </w:p>
        </w:tc>
      </w:tr>
      <w:tr>
        <w:tblPrEx>
          <w:tblW w:w="0" w:type="auto"/>
          <w:jc w:val="center"/>
          <w:tblCellMar>
            <w:left w:w="70" w:type="dxa"/>
            <w:right w:w="70" w:type="dxa"/>
          </w:tblCellMar>
          <w:tblLook w:val="04A0"/>
        </w:tblPrEx>
        <w:trPr>
          <w:cantSplit/>
          <w:trHeight w:val="227"/>
          <w:jc w:val="center"/>
        </w:trPr>
        <w:tc>
          <w:tcPr>
            <w:tcW w:w="0" w:type="auto"/>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potrzeby wyrównawcze</w:t>
            </w:r>
          </w:p>
        </w:tc>
        <w:tc>
          <w:tcPr>
            <w:tcW w:w="0" w:type="auto"/>
            <w:tcBorders>
              <w:top w:val="single" w:sz="4" w:space="0" w:color="auto"/>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w zł</w:t>
            </w:r>
          </w:p>
        </w:tc>
        <w:tc>
          <w:tcPr>
            <w:tcW w:w="0" w:type="auto"/>
            <w:gridSpan w:val="2"/>
            <w:tcBorders>
              <w:top w:val="single" w:sz="4" w:space="0" w:color="auto"/>
              <w:left w:val="single" w:sz="4" w:space="0" w:color="auto"/>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82 212 733</w:t>
            </w:r>
          </w:p>
        </w:tc>
        <w:tc>
          <w:tcPr>
            <w:tcW w:w="0" w:type="auto"/>
            <w:gridSpan w:val="2"/>
            <w:tcBorders>
              <w:top w:val="single" w:sz="4" w:space="0" w:color="auto"/>
              <w:left w:val="single" w:sz="4" w:space="0" w:color="auto"/>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72 658 447</w:t>
            </w:r>
          </w:p>
        </w:tc>
        <w:tc>
          <w:tcPr>
            <w:tcW w:w="0" w:type="auto"/>
            <w:gridSpan w:val="2"/>
            <w:tcBorders>
              <w:top w:val="single" w:sz="4" w:space="0" w:color="auto"/>
              <w:left w:val="single" w:sz="4" w:space="0" w:color="auto"/>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0</w:t>
            </w:r>
          </w:p>
        </w:tc>
      </w:tr>
      <w:tr>
        <w:tblPrEx>
          <w:tblW w:w="0" w:type="auto"/>
          <w:jc w:val="center"/>
          <w:tblCellMar>
            <w:left w:w="70" w:type="dxa"/>
            <w:right w:w="70" w:type="dxa"/>
          </w:tblCellMar>
          <w:tblLook w:val="04A0"/>
        </w:tblPrEx>
        <w:trPr>
          <w:cantSplit/>
          <w:trHeight w:val="227"/>
          <w:jc w:val="center"/>
        </w:trPr>
        <w:tc>
          <w:tcPr>
            <w:tcW w:w="0" w:type="auto"/>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potrzeby oświatowe</w:t>
            </w:r>
          </w:p>
        </w:tc>
        <w:tc>
          <w:tcPr>
            <w:tcW w:w="0" w:type="auto"/>
            <w:tcBorders>
              <w:top w:val="single" w:sz="4" w:space="0" w:color="auto"/>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w zł</w:t>
            </w:r>
          </w:p>
        </w:tc>
        <w:tc>
          <w:tcPr>
            <w:tcW w:w="0" w:type="auto"/>
            <w:gridSpan w:val="2"/>
            <w:tcBorders>
              <w:top w:val="single" w:sz="4" w:space="0" w:color="auto"/>
              <w:left w:val="single" w:sz="4" w:space="0" w:color="auto"/>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358 341 565</w:t>
            </w:r>
          </w:p>
        </w:tc>
        <w:tc>
          <w:tcPr>
            <w:tcW w:w="0" w:type="auto"/>
            <w:gridSpan w:val="2"/>
            <w:tcBorders>
              <w:top w:val="single" w:sz="4" w:space="0" w:color="auto"/>
              <w:left w:val="single" w:sz="4" w:space="0" w:color="auto"/>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356 626 880</w:t>
            </w:r>
          </w:p>
        </w:tc>
        <w:tc>
          <w:tcPr>
            <w:tcW w:w="0" w:type="auto"/>
            <w:gridSpan w:val="2"/>
            <w:tcBorders>
              <w:top w:val="single" w:sz="4" w:space="0" w:color="auto"/>
              <w:left w:val="single" w:sz="4" w:space="0" w:color="auto"/>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408 605 956</w:t>
            </w:r>
          </w:p>
        </w:tc>
      </w:tr>
      <w:tr>
        <w:tblPrEx>
          <w:tblW w:w="0" w:type="auto"/>
          <w:jc w:val="center"/>
          <w:tblCellMar>
            <w:left w:w="70" w:type="dxa"/>
            <w:right w:w="70" w:type="dxa"/>
          </w:tblCellMar>
          <w:tblLook w:val="04A0"/>
        </w:tblPrEx>
        <w:trPr>
          <w:cantSplit/>
          <w:trHeight w:val="227"/>
          <w:jc w:val="center"/>
        </w:trPr>
        <w:tc>
          <w:tcPr>
            <w:tcW w:w="0" w:type="auto"/>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potrzeby rozwojowe</w:t>
            </w:r>
          </w:p>
        </w:tc>
        <w:tc>
          <w:tcPr>
            <w:tcW w:w="0" w:type="auto"/>
            <w:tcBorders>
              <w:top w:val="single" w:sz="4" w:space="0" w:color="auto"/>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w zł</w:t>
            </w:r>
          </w:p>
        </w:tc>
        <w:tc>
          <w:tcPr>
            <w:tcW w:w="0" w:type="auto"/>
            <w:gridSpan w:val="2"/>
            <w:tcBorders>
              <w:top w:val="single" w:sz="4" w:space="0" w:color="auto"/>
              <w:left w:val="single" w:sz="4" w:space="0" w:color="auto"/>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31 221 133</w:t>
            </w:r>
          </w:p>
        </w:tc>
        <w:tc>
          <w:tcPr>
            <w:tcW w:w="0" w:type="auto"/>
            <w:gridSpan w:val="2"/>
            <w:tcBorders>
              <w:top w:val="single" w:sz="4" w:space="0" w:color="auto"/>
              <w:left w:val="single" w:sz="4" w:space="0" w:color="auto"/>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31 221 133</w:t>
            </w:r>
          </w:p>
        </w:tc>
        <w:tc>
          <w:tcPr>
            <w:tcW w:w="0" w:type="auto"/>
            <w:gridSpan w:val="2"/>
            <w:tcBorders>
              <w:top w:val="single" w:sz="4" w:space="0" w:color="auto"/>
              <w:left w:val="single" w:sz="4" w:space="0" w:color="auto"/>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26 727 362</w:t>
            </w:r>
          </w:p>
        </w:tc>
      </w:tr>
      <w:tr>
        <w:tblPrEx>
          <w:tblW w:w="0" w:type="auto"/>
          <w:jc w:val="center"/>
          <w:tblCellMar>
            <w:left w:w="70" w:type="dxa"/>
            <w:right w:w="70" w:type="dxa"/>
          </w:tblCellMar>
          <w:tblLook w:val="04A0"/>
        </w:tblPrEx>
        <w:trPr>
          <w:cantSplit/>
          <w:trHeight w:val="227"/>
          <w:jc w:val="center"/>
        </w:trPr>
        <w:tc>
          <w:tcPr>
            <w:tcW w:w="0" w:type="auto"/>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potrzeby ekologiczne</w:t>
            </w:r>
          </w:p>
        </w:tc>
        <w:tc>
          <w:tcPr>
            <w:tcW w:w="0" w:type="auto"/>
            <w:tcBorders>
              <w:top w:val="single" w:sz="4" w:space="0" w:color="auto"/>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w zł</w:t>
            </w:r>
          </w:p>
        </w:tc>
        <w:tc>
          <w:tcPr>
            <w:tcW w:w="0" w:type="auto"/>
            <w:gridSpan w:val="2"/>
            <w:tcBorders>
              <w:top w:val="single" w:sz="4" w:space="0" w:color="auto"/>
              <w:left w:val="single" w:sz="4" w:space="0" w:color="auto"/>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60 783</w:t>
            </w:r>
          </w:p>
        </w:tc>
        <w:tc>
          <w:tcPr>
            <w:tcW w:w="0" w:type="auto"/>
            <w:gridSpan w:val="2"/>
            <w:tcBorders>
              <w:top w:val="single" w:sz="4" w:space="0" w:color="auto"/>
              <w:left w:val="single" w:sz="4" w:space="0" w:color="auto"/>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60 783</w:t>
            </w:r>
          </w:p>
        </w:tc>
        <w:tc>
          <w:tcPr>
            <w:tcW w:w="0" w:type="auto"/>
            <w:gridSpan w:val="2"/>
            <w:tcBorders>
              <w:top w:val="single" w:sz="4" w:space="0" w:color="auto"/>
              <w:left w:val="single" w:sz="4" w:space="0" w:color="auto"/>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63 518</w:t>
            </w:r>
          </w:p>
        </w:tc>
      </w:tr>
      <w:tr>
        <w:tblPrEx>
          <w:tblW w:w="0" w:type="auto"/>
          <w:jc w:val="center"/>
          <w:tblCellMar>
            <w:left w:w="70" w:type="dxa"/>
            <w:right w:w="70" w:type="dxa"/>
          </w:tblCellMar>
          <w:tblLook w:val="04A0"/>
        </w:tblPrEx>
        <w:trPr>
          <w:cantSplit/>
          <w:trHeight w:val="227"/>
          <w:jc w:val="center"/>
        </w:trPr>
        <w:tc>
          <w:tcPr>
            <w:tcW w:w="0" w:type="auto"/>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potrzeby uzupełniające</w:t>
            </w:r>
          </w:p>
        </w:tc>
        <w:tc>
          <w:tcPr>
            <w:tcW w:w="0" w:type="auto"/>
            <w:tcBorders>
              <w:top w:val="single" w:sz="4" w:space="0" w:color="auto"/>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w zł</w:t>
            </w:r>
          </w:p>
        </w:tc>
        <w:tc>
          <w:tcPr>
            <w:tcW w:w="0" w:type="auto"/>
            <w:gridSpan w:val="2"/>
            <w:tcBorders>
              <w:top w:val="single" w:sz="4" w:space="0" w:color="auto"/>
              <w:left w:val="single" w:sz="4" w:space="0" w:color="auto"/>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16 023 162</w:t>
            </w:r>
          </w:p>
        </w:tc>
        <w:tc>
          <w:tcPr>
            <w:tcW w:w="0" w:type="auto"/>
            <w:gridSpan w:val="2"/>
            <w:tcBorders>
              <w:top w:val="single" w:sz="4" w:space="0" w:color="auto"/>
              <w:left w:val="single" w:sz="4" w:space="0" w:color="auto"/>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27 203 294</w:t>
            </w:r>
          </w:p>
        </w:tc>
        <w:tc>
          <w:tcPr>
            <w:tcW w:w="0" w:type="auto"/>
            <w:gridSpan w:val="2"/>
            <w:tcBorders>
              <w:top w:val="single" w:sz="4" w:space="0" w:color="auto"/>
              <w:left w:val="single" w:sz="4" w:space="0" w:color="auto"/>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28 427 442</w:t>
            </w:r>
          </w:p>
        </w:tc>
      </w:tr>
      <w:tr>
        <w:tblPrEx>
          <w:tblW w:w="0" w:type="auto"/>
          <w:jc w:val="center"/>
          <w:tblCellMar>
            <w:left w:w="70" w:type="dxa"/>
            <w:right w:w="70" w:type="dxa"/>
          </w:tblCellMar>
          <w:tblLook w:val="04A0"/>
        </w:tblPrEx>
        <w:trPr>
          <w:cantSplit/>
          <w:trHeight w:val="227"/>
          <w:jc w:val="center"/>
        </w:trPr>
        <w:tc>
          <w:tcPr>
            <w:tcW w:w="0" w:type="auto"/>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uzupełnienie dochodów w trakcie roku</w:t>
            </w:r>
          </w:p>
        </w:tc>
        <w:tc>
          <w:tcPr>
            <w:tcW w:w="0" w:type="auto"/>
            <w:tcBorders>
              <w:top w:val="single" w:sz="4" w:space="0" w:color="auto"/>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w zł</w:t>
            </w:r>
          </w:p>
        </w:tc>
        <w:tc>
          <w:tcPr>
            <w:tcW w:w="0" w:type="auto"/>
            <w:gridSpan w:val="2"/>
            <w:tcBorders>
              <w:top w:val="single" w:sz="4" w:space="0" w:color="auto"/>
              <w:left w:val="single" w:sz="4" w:space="0" w:color="auto"/>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15 018 564,00</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 </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 </w:t>
            </w:r>
          </w:p>
        </w:tc>
      </w:tr>
    </w:tbl>
    <w:p>
      <w:pPr>
        <w:keepNext w:val="0"/>
        <w:keepLines w:val="0"/>
        <w:widowControl/>
        <w:suppressLineNumbers w:val="0"/>
        <w:shd w:val="clear" w:color="auto" w:fill="auto"/>
        <w:suppressAutoHyphens w:val="0"/>
        <w:spacing w:before="240" w:beforeAutospacing="0" w:after="120" w:afterAutospacing="0" w:line="240" w:lineRule="auto"/>
        <w:ind w:left="0" w:right="0" w:firstLine="0"/>
        <w:contextualSpacing w:val="0"/>
        <w:jc w:val="both"/>
        <w:rPr>
          <w:rFonts w:eastAsia="Times New Roman" w:cs="Times New Roman"/>
          <w:szCs w:val="20"/>
          <w:highlight w:val="yellow"/>
          <w:lang w:bidi="ar-SA"/>
        </w:rPr>
      </w:pPr>
    </w:p>
    <w:tbl>
      <w:tblPr>
        <w:tblStyle w:val="TableNormal"/>
        <w:tblW w:w="0" w:type="auto"/>
        <w:jc w:val="center"/>
        <w:tblInd w:w="670" w:type="dxa"/>
        <w:tblBorders>
          <w:insideH w:val="nil"/>
          <w:insideV w:val="nil"/>
        </w:tblBorders>
        <w:tblLayout w:type="fixed"/>
        <w:tblCellMar>
          <w:left w:w="70" w:type="dxa"/>
          <w:right w:w="70" w:type="dxa"/>
        </w:tblCellMar>
        <w:tblLook w:val="04A0"/>
      </w:tblPr>
      <w:tblGrid>
        <w:gridCol w:w="1800"/>
        <w:gridCol w:w="600"/>
        <w:gridCol w:w="1515"/>
        <w:gridCol w:w="1485"/>
        <w:gridCol w:w="1395"/>
        <w:gridCol w:w="1770"/>
        <w:gridCol w:w="1635"/>
        <w:gridCol w:w="1530"/>
        <w:gridCol w:w="1560"/>
        <w:gridCol w:w="1350"/>
      </w:tblGrid>
      <w:tr>
        <w:tblPrEx>
          <w:tblW w:w="0" w:type="auto"/>
          <w:jc w:val="center"/>
          <w:tblInd w:w="670" w:type="dxa"/>
          <w:tblBorders>
            <w:insideH w:val="nil"/>
            <w:insideV w:val="nil"/>
          </w:tblBorders>
          <w:tblLayout w:type="fixed"/>
          <w:tblCellMar>
            <w:left w:w="70" w:type="dxa"/>
            <w:right w:w="70" w:type="dxa"/>
          </w:tblCellMar>
          <w:tblLook w:val="04A0"/>
        </w:tblPrEx>
        <w:trPr>
          <w:cantSplit/>
          <w:trHeight w:val="227"/>
          <w:jc w:val="center"/>
        </w:trPr>
        <w:tc>
          <w:tcPr>
            <w:tcW w:w="1800" w:type="dxa"/>
            <w:tcBorders>
              <w:top w:val="nil"/>
              <w:left w:val="nil"/>
              <w:right w:val="nil"/>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p>
        </w:tc>
        <w:tc>
          <w:tcPr>
            <w:tcW w:w="600" w:type="dxa"/>
            <w:tcBorders>
              <w:top w:val="nil"/>
              <w:left w:val="nil"/>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p>
        </w:tc>
        <w:tc>
          <w:tcPr>
            <w:tcW w:w="3000" w:type="dxa"/>
            <w:gridSpan w:val="2"/>
            <w:tcBorders>
              <w:top w:val="single" w:sz="4" w:space="0" w:color="auto"/>
              <w:left w:val="single" w:sz="4" w:space="0" w:color="auto"/>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2026</w:t>
            </w:r>
          </w:p>
        </w:tc>
        <w:tc>
          <w:tcPr>
            <w:tcW w:w="3165" w:type="dxa"/>
            <w:gridSpan w:val="2"/>
            <w:tcBorders>
              <w:top w:val="single" w:sz="4" w:space="0" w:color="auto"/>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2027</w:t>
            </w:r>
          </w:p>
        </w:tc>
        <w:tc>
          <w:tcPr>
            <w:tcW w:w="3165" w:type="dxa"/>
            <w:gridSpan w:val="2"/>
            <w:tcBorders>
              <w:top w:val="single" w:sz="4" w:space="0" w:color="auto"/>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2028</w:t>
            </w:r>
          </w:p>
        </w:tc>
        <w:tc>
          <w:tcPr>
            <w:tcW w:w="2910" w:type="dxa"/>
            <w:gridSpan w:val="2"/>
            <w:tcBorders>
              <w:top w:val="single" w:sz="4" w:space="0" w:color="auto"/>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2029</w:t>
            </w:r>
          </w:p>
        </w:tc>
      </w:tr>
      <w:tr>
        <w:tblPrEx>
          <w:tblW w:w="0" w:type="auto"/>
          <w:jc w:val="center"/>
          <w:tblInd w:w="670" w:type="dxa"/>
          <w:tblLayout w:type="fixed"/>
          <w:tblCellMar>
            <w:left w:w="70" w:type="dxa"/>
            <w:right w:w="70" w:type="dxa"/>
          </w:tblCellMar>
          <w:tblLook w:val="04A0"/>
        </w:tblPrEx>
        <w:trPr>
          <w:cantSplit/>
          <w:trHeight w:val="227"/>
          <w:jc w:val="center"/>
        </w:trPr>
        <w:tc>
          <w:tcPr>
            <w:tcW w:w="1800" w:type="dxa"/>
            <w:tcBorders>
              <w:bottom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 </w:t>
            </w:r>
          </w:p>
        </w:tc>
        <w:tc>
          <w:tcPr>
            <w:tcW w:w="600" w:type="dxa"/>
            <w:tcBorders>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 </w:t>
            </w:r>
          </w:p>
        </w:tc>
        <w:tc>
          <w:tcPr>
            <w:tcW w:w="1515" w:type="dxa"/>
            <w:tcBorders>
              <w:top w:val="single" w:sz="4" w:space="0" w:color="auto"/>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PIT</w:t>
            </w:r>
          </w:p>
        </w:tc>
        <w:tc>
          <w:tcPr>
            <w:tcW w:w="1485" w:type="dxa"/>
            <w:tcBorders>
              <w:top w:val="nil"/>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CIT</w:t>
            </w:r>
          </w:p>
        </w:tc>
        <w:tc>
          <w:tcPr>
            <w:tcW w:w="1395" w:type="dxa"/>
            <w:tcBorders>
              <w:top w:val="nil"/>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PIT</w:t>
            </w:r>
          </w:p>
        </w:tc>
        <w:tc>
          <w:tcPr>
            <w:tcW w:w="1770" w:type="dxa"/>
            <w:tcBorders>
              <w:top w:val="nil"/>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CIT</w:t>
            </w:r>
          </w:p>
        </w:tc>
        <w:tc>
          <w:tcPr>
            <w:tcW w:w="1635" w:type="dxa"/>
            <w:tcBorders>
              <w:top w:val="nil"/>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PIT</w:t>
            </w:r>
          </w:p>
        </w:tc>
        <w:tc>
          <w:tcPr>
            <w:tcW w:w="1530" w:type="dxa"/>
            <w:tcBorders>
              <w:top w:val="nil"/>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CIT</w:t>
            </w:r>
          </w:p>
        </w:tc>
        <w:tc>
          <w:tcPr>
            <w:tcW w:w="1560" w:type="dxa"/>
            <w:tcBorders>
              <w:top w:val="nil"/>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PIT</w:t>
            </w:r>
          </w:p>
        </w:tc>
        <w:tc>
          <w:tcPr>
            <w:tcW w:w="1350" w:type="dxa"/>
            <w:tcBorders>
              <w:top w:val="nil"/>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CIT</w:t>
            </w:r>
          </w:p>
        </w:tc>
      </w:tr>
      <w:tr>
        <w:tblPrEx>
          <w:tblW w:w="0" w:type="auto"/>
          <w:jc w:val="center"/>
          <w:tblInd w:w="670" w:type="dxa"/>
          <w:tblLayout w:type="fixed"/>
          <w:tblCellMar>
            <w:left w:w="70" w:type="dxa"/>
            <w:right w:w="70" w:type="dxa"/>
          </w:tblCellMar>
          <w:tblLook w:val="04A0"/>
        </w:tblPrEx>
        <w:trPr>
          <w:cantSplit/>
          <w:trHeight w:val="227"/>
          <w:jc w:val="center"/>
        </w:trPr>
        <w:tc>
          <w:tcPr>
            <w:tcW w:w="1800" w:type="dxa"/>
            <w:tcBorders>
              <w:top w:val="nil"/>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xml:space="preserve">Dochody PIT i CIT wg ustawy </w:t>
            </w:r>
          </w:p>
        </w:tc>
        <w:tc>
          <w:tcPr>
            <w:tcW w:w="600" w:type="dxa"/>
            <w:tcBorders>
              <w:top w:val="nil"/>
              <w:left w:val="nil"/>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w zł</w:t>
            </w:r>
          </w:p>
        </w:tc>
        <w:tc>
          <w:tcPr>
            <w:tcW w:w="1515" w:type="dxa"/>
            <w:tcBorders>
              <w:top w:val="nil"/>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681 104 624,27</w:t>
            </w:r>
          </w:p>
        </w:tc>
        <w:tc>
          <w:tcPr>
            <w:tcW w:w="1485" w:type="dxa"/>
            <w:tcBorders>
              <w:top w:val="nil"/>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16 281 582,44</w:t>
            </w:r>
          </w:p>
        </w:tc>
        <w:tc>
          <w:tcPr>
            <w:tcW w:w="1395" w:type="dxa"/>
            <w:tcBorders>
              <w:top w:val="nil"/>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723 784 809,60</w:t>
            </w:r>
          </w:p>
        </w:tc>
        <w:tc>
          <w:tcPr>
            <w:tcW w:w="1770" w:type="dxa"/>
            <w:tcBorders>
              <w:top w:val="nil"/>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17 193 237,10</w:t>
            </w:r>
          </w:p>
        </w:tc>
        <w:tc>
          <w:tcPr>
            <w:tcW w:w="1635" w:type="dxa"/>
            <w:tcBorders>
              <w:top w:val="nil"/>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767 650 555,64</w:t>
            </w:r>
          </w:p>
        </w:tc>
        <w:tc>
          <w:tcPr>
            <w:tcW w:w="1530" w:type="dxa"/>
            <w:tcBorders>
              <w:top w:val="nil"/>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18 147 625,58</w:t>
            </w:r>
          </w:p>
        </w:tc>
        <w:tc>
          <w:tcPr>
            <w:tcW w:w="1560" w:type="dxa"/>
            <w:tcBorders>
              <w:top w:val="nil"/>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813 294 642,73</w:t>
            </w:r>
          </w:p>
        </w:tc>
        <w:tc>
          <w:tcPr>
            <w:tcW w:w="1350" w:type="dxa"/>
            <w:tcBorders>
              <w:top w:val="nil"/>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19 102 014,05</w:t>
            </w:r>
          </w:p>
        </w:tc>
      </w:tr>
      <w:tr>
        <w:tblPrEx>
          <w:tblW w:w="0" w:type="auto"/>
          <w:jc w:val="center"/>
          <w:tblInd w:w="670" w:type="dxa"/>
          <w:tblLayout w:type="fixed"/>
          <w:tblCellMar>
            <w:left w:w="70" w:type="dxa"/>
            <w:right w:w="70" w:type="dxa"/>
          </w:tblCellMar>
          <w:tblLook w:val="04A0"/>
        </w:tblPrEx>
        <w:trPr>
          <w:cantSplit/>
          <w:trHeight w:val="227"/>
          <w:jc w:val="center"/>
        </w:trPr>
        <w:tc>
          <w:tcPr>
            <w:tcW w:w="1800" w:type="dxa"/>
            <w:tcBorders>
              <w:top w:val="nil"/>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Razem PIT i CIT</w:t>
            </w:r>
          </w:p>
        </w:tc>
        <w:tc>
          <w:tcPr>
            <w:tcW w:w="600" w:type="dxa"/>
            <w:tcBorders>
              <w:top w:val="nil"/>
              <w:left w:val="nil"/>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w zł</w:t>
            </w:r>
          </w:p>
        </w:tc>
        <w:tc>
          <w:tcPr>
            <w:tcW w:w="3000" w:type="dxa"/>
            <w:gridSpan w:val="2"/>
            <w:tcBorders>
              <w:top w:val="single" w:sz="4" w:space="0" w:color="auto"/>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697 386 206,71</w:t>
            </w:r>
          </w:p>
        </w:tc>
        <w:tc>
          <w:tcPr>
            <w:tcW w:w="3165" w:type="dxa"/>
            <w:gridSpan w:val="2"/>
            <w:tcBorders>
              <w:top w:val="single" w:sz="4" w:space="0" w:color="auto"/>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740 978 046,70</w:t>
            </w:r>
          </w:p>
        </w:tc>
        <w:tc>
          <w:tcPr>
            <w:tcW w:w="3165" w:type="dxa"/>
            <w:gridSpan w:val="2"/>
            <w:tcBorders>
              <w:top w:val="single" w:sz="4" w:space="0" w:color="auto"/>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785 798 181,22</w:t>
            </w:r>
          </w:p>
        </w:tc>
        <w:tc>
          <w:tcPr>
            <w:tcW w:w="2910" w:type="dxa"/>
            <w:gridSpan w:val="2"/>
            <w:tcBorders>
              <w:top w:val="single" w:sz="4" w:space="0" w:color="auto"/>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832 396 656,78</w:t>
            </w:r>
          </w:p>
        </w:tc>
      </w:tr>
      <w:tr>
        <w:tblPrEx>
          <w:tblW w:w="0" w:type="auto"/>
          <w:jc w:val="center"/>
          <w:tblInd w:w="670" w:type="dxa"/>
          <w:tblLayout w:type="fixed"/>
          <w:tblCellMar>
            <w:left w:w="70" w:type="dxa"/>
            <w:right w:w="70" w:type="dxa"/>
          </w:tblCellMar>
          <w:tblLook w:val="04A0"/>
        </w:tblPrEx>
        <w:trPr>
          <w:cantSplit/>
          <w:trHeight w:val="227"/>
          <w:jc w:val="center"/>
        </w:trPr>
        <w:tc>
          <w:tcPr>
            <w:tcW w:w="1800" w:type="dxa"/>
            <w:vMerge w:val="restart"/>
            <w:tcBorders>
              <w:top w:val="nil"/>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xml:space="preserve">Kwota kalkulacyjna </w:t>
            </w:r>
          </w:p>
        </w:tc>
        <w:tc>
          <w:tcPr>
            <w:tcW w:w="600" w:type="dxa"/>
            <w:vMerge w:val="restart"/>
            <w:tcBorders>
              <w:top w:val="nil"/>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w zł</w:t>
            </w:r>
          </w:p>
        </w:tc>
        <w:tc>
          <w:tcPr>
            <w:tcW w:w="1515" w:type="dxa"/>
            <w:tcBorders>
              <w:top w:val="nil"/>
              <w:left w:val="nil"/>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RAZEM PIT+CIT</w:t>
            </w:r>
          </w:p>
        </w:tc>
        <w:tc>
          <w:tcPr>
            <w:tcW w:w="1485" w:type="dxa"/>
            <w:tcBorders>
              <w:top w:val="nil"/>
              <w:left w:val="nil"/>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Wskaźnik waloryzacji</w:t>
            </w:r>
          </w:p>
        </w:tc>
        <w:tc>
          <w:tcPr>
            <w:tcW w:w="1395" w:type="dxa"/>
            <w:tcBorders>
              <w:top w:val="nil"/>
              <w:left w:val="nil"/>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RAZEM PIT+CIT</w:t>
            </w:r>
          </w:p>
        </w:tc>
        <w:tc>
          <w:tcPr>
            <w:tcW w:w="1770" w:type="dxa"/>
            <w:tcBorders>
              <w:top w:val="nil"/>
              <w:left w:val="nil"/>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Wskaźnik waloryzacji</w:t>
            </w:r>
          </w:p>
        </w:tc>
        <w:tc>
          <w:tcPr>
            <w:tcW w:w="1635" w:type="dxa"/>
            <w:tcBorders>
              <w:top w:val="nil"/>
              <w:left w:val="nil"/>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RAZEM PIT+CIT</w:t>
            </w:r>
          </w:p>
        </w:tc>
        <w:tc>
          <w:tcPr>
            <w:tcW w:w="1530" w:type="dxa"/>
            <w:tcBorders>
              <w:top w:val="nil"/>
              <w:left w:val="nil"/>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Wskaźnik waloryzacji</w:t>
            </w:r>
          </w:p>
        </w:tc>
        <w:tc>
          <w:tcPr>
            <w:tcW w:w="1560" w:type="dxa"/>
            <w:tcBorders>
              <w:top w:val="nil"/>
              <w:left w:val="nil"/>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RAZEM PIT+CIT</w:t>
            </w:r>
          </w:p>
        </w:tc>
        <w:tc>
          <w:tcPr>
            <w:tcW w:w="1350" w:type="dxa"/>
            <w:tcBorders>
              <w:top w:val="nil"/>
              <w:left w:val="nil"/>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Wskaźnik waloryzacji</w:t>
            </w:r>
          </w:p>
        </w:tc>
      </w:tr>
      <w:tr>
        <w:tblPrEx>
          <w:tblW w:w="0" w:type="auto"/>
          <w:jc w:val="center"/>
          <w:tblInd w:w="670" w:type="dxa"/>
          <w:tblLayout w:type="fixed"/>
          <w:tblCellMar>
            <w:left w:w="70" w:type="dxa"/>
            <w:right w:w="70" w:type="dxa"/>
          </w:tblCellMar>
          <w:tblLook w:val="04A0"/>
        </w:tblPrEx>
        <w:trPr>
          <w:cantSplit/>
          <w:trHeight w:val="227"/>
          <w:jc w:val="center"/>
        </w:trPr>
        <w:tc>
          <w:tcPr>
            <w:tcW w:w="1800" w:type="dxa"/>
            <w:vMerge/>
            <w:tcBorders>
              <w:top w:val="nil"/>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p>
        </w:tc>
        <w:tc>
          <w:tcPr>
            <w:tcW w:w="600" w:type="dxa"/>
            <w:vMerge/>
            <w:tcBorders>
              <w:top w:val="nil"/>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p>
        </w:tc>
        <w:tc>
          <w:tcPr>
            <w:tcW w:w="1515" w:type="dxa"/>
            <w:tcBorders>
              <w:top w:val="nil"/>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697 386 206,71</w:t>
            </w:r>
          </w:p>
        </w:tc>
        <w:tc>
          <w:tcPr>
            <w:tcW w:w="1485" w:type="dxa"/>
            <w:tcBorders>
              <w:top w:val="nil"/>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1,077214371</w:t>
            </w:r>
          </w:p>
        </w:tc>
        <w:tc>
          <w:tcPr>
            <w:tcW w:w="1395" w:type="dxa"/>
            <w:tcBorders>
              <w:top w:val="nil"/>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740 978 046,70</w:t>
            </w:r>
          </w:p>
        </w:tc>
        <w:tc>
          <w:tcPr>
            <w:tcW w:w="1770" w:type="dxa"/>
            <w:tcBorders>
              <w:top w:val="nil"/>
              <w:left w:val="nil"/>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1,062507459</w:t>
            </w:r>
          </w:p>
        </w:tc>
        <w:tc>
          <w:tcPr>
            <w:tcW w:w="1635" w:type="dxa"/>
            <w:tcBorders>
              <w:top w:val="nil"/>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785 798 181,22</w:t>
            </w:r>
          </w:p>
        </w:tc>
        <w:tc>
          <w:tcPr>
            <w:tcW w:w="1530" w:type="dxa"/>
            <w:tcBorders>
              <w:top w:val="nil"/>
              <w:left w:val="nil"/>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1,060487804</w:t>
            </w:r>
          </w:p>
        </w:tc>
        <w:tc>
          <w:tcPr>
            <w:tcW w:w="1560" w:type="dxa"/>
            <w:tcBorders>
              <w:top w:val="nil"/>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832 396 656,78</w:t>
            </w:r>
          </w:p>
        </w:tc>
        <w:tc>
          <w:tcPr>
            <w:tcW w:w="1350" w:type="dxa"/>
            <w:tcBorders>
              <w:top w:val="nil"/>
              <w:left w:val="nil"/>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1,059300819</w:t>
            </w:r>
          </w:p>
        </w:tc>
      </w:tr>
      <w:tr>
        <w:tblPrEx>
          <w:tblW w:w="0" w:type="auto"/>
          <w:jc w:val="center"/>
          <w:tblInd w:w="670" w:type="dxa"/>
          <w:tblLayout w:type="fixed"/>
          <w:tblCellMar>
            <w:left w:w="70" w:type="dxa"/>
            <w:right w:w="70" w:type="dxa"/>
          </w:tblCellMar>
          <w:tblLook w:val="04A0"/>
        </w:tblPrEx>
        <w:trPr>
          <w:cantSplit/>
          <w:trHeight w:val="227"/>
          <w:jc w:val="center"/>
        </w:trPr>
        <w:tc>
          <w:tcPr>
            <w:tcW w:w="1800" w:type="dxa"/>
            <w:vMerge/>
            <w:tcBorders>
              <w:top w:val="nil"/>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p>
        </w:tc>
        <w:tc>
          <w:tcPr>
            <w:tcW w:w="600" w:type="dxa"/>
            <w:vMerge/>
            <w:tcBorders>
              <w:top w:val="nil"/>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p>
        </w:tc>
        <w:tc>
          <w:tcPr>
            <w:tcW w:w="3000" w:type="dxa"/>
            <w:gridSpan w:val="2"/>
            <w:tcBorders>
              <w:top w:val="single" w:sz="4" w:space="0" w:color="auto"/>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964" w:firstLine="0"/>
              <w:contextualSpacing w:val="0"/>
              <w:jc w:val="right"/>
              <w:rPr>
                <w:rFonts w:eastAsia="Times New Roman" w:cs="Times New Roman"/>
                <w:sz w:val="16"/>
                <w:szCs w:val="20"/>
                <w:lang w:bidi="ar-SA"/>
              </w:rPr>
            </w:pPr>
            <w:r>
              <w:rPr>
                <w:rFonts w:eastAsia="Times New Roman" w:cs="Times New Roman"/>
                <w:sz w:val="16"/>
                <w:szCs w:val="20"/>
                <w:lang w:bidi="ar-SA"/>
              </w:rPr>
              <w:t>397 173 788,43</w:t>
            </w:r>
          </w:p>
        </w:tc>
        <w:tc>
          <w:tcPr>
            <w:tcW w:w="3165" w:type="dxa"/>
            <w:gridSpan w:val="2"/>
            <w:tcBorders>
              <w:top w:val="single" w:sz="4" w:space="0" w:color="auto"/>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964" w:firstLine="0"/>
              <w:contextualSpacing w:val="0"/>
              <w:jc w:val="right"/>
              <w:rPr>
                <w:rFonts w:eastAsia="Times New Roman" w:cs="Times New Roman"/>
                <w:sz w:val="16"/>
                <w:szCs w:val="20"/>
                <w:lang w:bidi="ar-SA"/>
              </w:rPr>
            </w:pPr>
            <w:r>
              <w:rPr>
                <w:rFonts w:eastAsia="Times New Roman" w:cs="Times New Roman"/>
                <w:sz w:val="16"/>
                <w:szCs w:val="20"/>
                <w:lang w:bidi="ar-SA"/>
              </w:rPr>
              <w:t>422 000 112,88</w:t>
            </w:r>
          </w:p>
        </w:tc>
        <w:tc>
          <w:tcPr>
            <w:tcW w:w="3165" w:type="dxa"/>
            <w:gridSpan w:val="2"/>
            <w:tcBorders>
              <w:top w:val="single" w:sz="4" w:space="0" w:color="auto"/>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964" w:firstLine="0"/>
              <w:contextualSpacing w:val="0"/>
              <w:jc w:val="right"/>
              <w:rPr>
                <w:rFonts w:eastAsia="Times New Roman" w:cs="Times New Roman"/>
                <w:sz w:val="16"/>
                <w:szCs w:val="20"/>
                <w:lang w:bidi="ar-SA"/>
              </w:rPr>
            </w:pPr>
            <w:r>
              <w:rPr>
                <w:rFonts w:eastAsia="Times New Roman" w:cs="Times New Roman"/>
                <w:sz w:val="16"/>
                <w:szCs w:val="20"/>
                <w:lang w:bidi="ar-SA"/>
              </w:rPr>
              <w:t>447 525 972,80</w:t>
            </w:r>
          </w:p>
        </w:tc>
        <w:tc>
          <w:tcPr>
            <w:tcW w:w="2910" w:type="dxa"/>
            <w:gridSpan w:val="2"/>
            <w:tcBorders>
              <w:top w:val="single" w:sz="4" w:space="0" w:color="auto"/>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964" w:firstLine="0"/>
              <w:contextualSpacing w:val="0"/>
              <w:jc w:val="right"/>
              <w:rPr>
                <w:rFonts w:eastAsia="Times New Roman" w:cs="Times New Roman"/>
                <w:sz w:val="16"/>
                <w:szCs w:val="20"/>
                <w:lang w:bidi="ar-SA"/>
              </w:rPr>
            </w:pPr>
            <w:r>
              <w:rPr>
                <w:rFonts w:eastAsia="Times New Roman" w:cs="Times New Roman"/>
                <w:sz w:val="16"/>
                <w:szCs w:val="20"/>
                <w:lang w:bidi="ar-SA"/>
              </w:rPr>
              <w:t>474 064 629,42</w:t>
            </w:r>
          </w:p>
        </w:tc>
      </w:tr>
      <w:tr>
        <w:tblPrEx>
          <w:tblW w:w="0" w:type="auto"/>
          <w:jc w:val="center"/>
          <w:tblInd w:w="670" w:type="dxa"/>
          <w:tblLayout w:type="fixed"/>
          <w:tblCellMar>
            <w:left w:w="70" w:type="dxa"/>
            <w:right w:w="70" w:type="dxa"/>
          </w:tblCellMar>
          <w:tblLook w:val="04A0"/>
        </w:tblPrEx>
        <w:trPr>
          <w:cantSplit/>
          <w:trHeight w:val="227"/>
          <w:jc w:val="center"/>
        </w:trPr>
        <w:tc>
          <w:tcPr>
            <w:tcW w:w="1800" w:type="dxa"/>
            <w:tcBorders>
              <w:top w:val="nil"/>
              <w:left w:val="single" w:sz="4" w:space="0" w:color="auto"/>
              <w:bottom w:val="single" w:sz="4" w:space="0" w:color="auto"/>
              <w:right w:val="single" w:sz="4" w:space="0" w:color="auto"/>
            </w:tcBorders>
            <w:shd w:val="clear" w:color="FFFF00" w:fill="D8D8D8"/>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Naliczona subwencja ogólna z budżetu państwa</w:t>
            </w:r>
          </w:p>
        </w:tc>
        <w:tc>
          <w:tcPr>
            <w:tcW w:w="600" w:type="dxa"/>
            <w:tcBorders>
              <w:top w:val="nil"/>
              <w:left w:val="nil"/>
              <w:bottom w:val="single" w:sz="4" w:space="0" w:color="auto"/>
              <w:right w:val="single" w:sz="4" w:space="0" w:color="auto"/>
            </w:tcBorders>
            <w:shd w:val="clear" w:color="FFFF00" w:fill="D8D8D8"/>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w zł</w:t>
            </w:r>
          </w:p>
        </w:tc>
        <w:tc>
          <w:tcPr>
            <w:tcW w:w="3000" w:type="dxa"/>
            <w:gridSpan w:val="2"/>
            <w:tcBorders>
              <w:top w:val="single" w:sz="4" w:space="0" w:color="auto"/>
              <w:left w:val="nil"/>
              <w:bottom w:val="single" w:sz="4" w:space="0" w:color="auto"/>
              <w:right w:val="single" w:sz="4" w:space="0" w:color="auto"/>
            </w:tcBorders>
            <w:shd w:val="clear" w:color="FFFF00" w:fill="D8D8D8"/>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964" w:firstLine="0"/>
              <w:contextualSpacing w:val="0"/>
              <w:jc w:val="right"/>
              <w:rPr>
                <w:rFonts w:eastAsia="Times New Roman" w:cs="Times New Roman"/>
                <w:sz w:val="16"/>
                <w:szCs w:val="20"/>
                <w:lang w:bidi="ar-SA"/>
              </w:rPr>
            </w:pPr>
            <w:r>
              <w:rPr>
                <w:rFonts w:eastAsia="Times New Roman" w:cs="Times New Roman"/>
                <w:sz w:val="16"/>
                <w:szCs w:val="20"/>
                <w:lang w:bidi="ar-SA"/>
              </w:rPr>
              <w:t>66 650 489,57</w:t>
            </w:r>
          </w:p>
        </w:tc>
        <w:tc>
          <w:tcPr>
            <w:tcW w:w="3165" w:type="dxa"/>
            <w:gridSpan w:val="2"/>
            <w:tcBorders>
              <w:top w:val="single" w:sz="4" w:space="0" w:color="auto"/>
              <w:left w:val="nil"/>
              <w:bottom w:val="single" w:sz="4" w:space="0" w:color="auto"/>
              <w:right w:val="single" w:sz="4" w:space="0" w:color="auto"/>
            </w:tcBorders>
            <w:shd w:val="clear" w:color="FFFF00" w:fill="D8D8D8"/>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964" w:firstLine="0"/>
              <w:contextualSpacing w:val="0"/>
              <w:jc w:val="right"/>
              <w:rPr>
                <w:rFonts w:eastAsia="Times New Roman" w:cs="Times New Roman"/>
                <w:sz w:val="16"/>
                <w:szCs w:val="20"/>
                <w:lang w:bidi="ar-SA"/>
              </w:rPr>
            </w:pPr>
            <w:r>
              <w:rPr>
                <w:rFonts w:eastAsia="Times New Roman" w:cs="Times New Roman"/>
                <w:sz w:val="16"/>
                <w:szCs w:val="20"/>
                <w:lang w:bidi="ar-SA"/>
              </w:rPr>
              <w:t>192 231 262,01</w:t>
            </w:r>
          </w:p>
        </w:tc>
        <w:tc>
          <w:tcPr>
            <w:tcW w:w="3165" w:type="dxa"/>
            <w:gridSpan w:val="2"/>
            <w:tcBorders>
              <w:top w:val="single" w:sz="4" w:space="0" w:color="auto"/>
              <w:left w:val="nil"/>
              <w:bottom w:val="single" w:sz="4" w:space="0" w:color="auto"/>
              <w:right w:val="single" w:sz="4" w:space="0" w:color="auto"/>
            </w:tcBorders>
            <w:shd w:val="clear" w:color="FFFF00" w:fill="D8D8D8"/>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964" w:firstLine="0"/>
              <w:contextualSpacing w:val="0"/>
              <w:jc w:val="right"/>
              <w:rPr>
                <w:rFonts w:eastAsia="Times New Roman" w:cs="Times New Roman"/>
                <w:sz w:val="16"/>
                <w:szCs w:val="20"/>
                <w:lang w:bidi="ar-SA"/>
              </w:rPr>
            </w:pPr>
            <w:r>
              <w:rPr>
                <w:rFonts w:eastAsia="Times New Roman" w:cs="Times New Roman"/>
                <w:sz w:val="16"/>
                <w:szCs w:val="20"/>
                <w:lang w:bidi="ar-SA"/>
              </w:rPr>
              <w:t>219 615 390,55</w:t>
            </w:r>
          </w:p>
        </w:tc>
        <w:tc>
          <w:tcPr>
            <w:tcW w:w="2910" w:type="dxa"/>
            <w:gridSpan w:val="2"/>
            <w:tcBorders>
              <w:top w:val="single" w:sz="4" w:space="0" w:color="auto"/>
              <w:left w:val="nil"/>
              <w:bottom w:val="single" w:sz="4" w:space="0" w:color="auto"/>
              <w:right w:val="single" w:sz="4" w:space="0" w:color="auto"/>
            </w:tcBorders>
            <w:shd w:val="clear" w:color="FFFF00" w:fill="D8D8D8"/>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964" w:firstLine="0"/>
              <w:contextualSpacing w:val="0"/>
              <w:jc w:val="right"/>
              <w:rPr>
                <w:rFonts w:eastAsia="Times New Roman" w:cs="Times New Roman"/>
                <w:sz w:val="16"/>
                <w:szCs w:val="20"/>
                <w:lang w:bidi="ar-SA"/>
              </w:rPr>
            </w:pPr>
            <w:r>
              <w:rPr>
                <w:rFonts w:eastAsia="Times New Roman" w:cs="Times New Roman"/>
                <w:sz w:val="16"/>
                <w:szCs w:val="20"/>
                <w:lang w:bidi="ar-SA"/>
              </w:rPr>
              <w:t>250 788 108,41</w:t>
            </w:r>
          </w:p>
        </w:tc>
      </w:tr>
      <w:tr>
        <w:tblPrEx>
          <w:tblW w:w="0" w:type="auto"/>
          <w:jc w:val="center"/>
          <w:tblInd w:w="670" w:type="dxa"/>
          <w:tblLayout w:type="fixed"/>
          <w:tblCellMar>
            <w:left w:w="70" w:type="dxa"/>
            <w:right w:w="70" w:type="dxa"/>
          </w:tblCellMar>
          <w:tblLook w:val="04A0"/>
        </w:tblPrEx>
        <w:trPr>
          <w:cantSplit/>
          <w:trHeight w:val="227"/>
          <w:jc w:val="center"/>
        </w:trPr>
        <w:tc>
          <w:tcPr>
            <w:tcW w:w="1800" w:type="dxa"/>
            <w:tcBorders>
              <w:top w:val="nil"/>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xml:space="preserve">Potrzeby finansowe, </w:t>
              <w:br/>
              <w:t>z tego:</w:t>
            </w:r>
          </w:p>
        </w:tc>
        <w:tc>
          <w:tcPr>
            <w:tcW w:w="600" w:type="dxa"/>
            <w:tcBorders>
              <w:top w:val="nil"/>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w zł</w:t>
            </w:r>
          </w:p>
        </w:tc>
        <w:tc>
          <w:tcPr>
            <w:tcW w:w="3000" w:type="dxa"/>
            <w:gridSpan w:val="2"/>
            <w:tcBorders>
              <w:top w:val="single" w:sz="4" w:space="0" w:color="auto"/>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964" w:firstLine="0"/>
              <w:contextualSpacing w:val="0"/>
              <w:jc w:val="right"/>
              <w:rPr>
                <w:rFonts w:eastAsia="Times New Roman" w:cs="Times New Roman"/>
                <w:sz w:val="16"/>
                <w:szCs w:val="20"/>
                <w:lang w:bidi="ar-SA"/>
              </w:rPr>
            </w:pPr>
            <w:r>
              <w:rPr>
                <w:rFonts w:eastAsia="Times New Roman" w:cs="Times New Roman"/>
                <w:sz w:val="16"/>
                <w:szCs w:val="20"/>
                <w:lang w:bidi="ar-SA"/>
              </w:rPr>
              <w:t>463 824 278,00</w:t>
            </w:r>
          </w:p>
        </w:tc>
        <w:tc>
          <w:tcPr>
            <w:tcW w:w="3165" w:type="dxa"/>
            <w:gridSpan w:val="2"/>
            <w:tcBorders>
              <w:top w:val="single" w:sz="4" w:space="0" w:color="auto"/>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964" w:firstLine="0"/>
              <w:contextualSpacing w:val="0"/>
              <w:jc w:val="right"/>
              <w:rPr>
                <w:rFonts w:eastAsia="Times New Roman" w:cs="Times New Roman"/>
                <w:sz w:val="16"/>
                <w:szCs w:val="20"/>
                <w:lang w:bidi="ar-SA"/>
              </w:rPr>
            </w:pPr>
            <w:r>
              <w:rPr>
                <w:rFonts w:eastAsia="Times New Roman" w:cs="Times New Roman"/>
                <w:sz w:val="16"/>
                <w:szCs w:val="20"/>
                <w:lang w:bidi="ar-SA"/>
              </w:rPr>
              <w:t>614 231 374,89</w:t>
            </w:r>
          </w:p>
        </w:tc>
        <w:tc>
          <w:tcPr>
            <w:tcW w:w="3165" w:type="dxa"/>
            <w:gridSpan w:val="2"/>
            <w:tcBorders>
              <w:top w:val="single" w:sz="4" w:space="0" w:color="auto"/>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964" w:firstLine="0"/>
              <w:contextualSpacing w:val="0"/>
              <w:jc w:val="right"/>
              <w:rPr>
                <w:rFonts w:eastAsia="Times New Roman" w:cs="Times New Roman"/>
                <w:sz w:val="16"/>
                <w:szCs w:val="20"/>
                <w:lang w:bidi="ar-SA"/>
              </w:rPr>
            </w:pPr>
            <w:r>
              <w:rPr>
                <w:rFonts w:eastAsia="Times New Roman" w:cs="Times New Roman"/>
                <w:sz w:val="16"/>
                <w:szCs w:val="20"/>
                <w:lang w:bidi="ar-SA"/>
              </w:rPr>
              <w:t>667 141 363,35</w:t>
            </w:r>
          </w:p>
        </w:tc>
        <w:tc>
          <w:tcPr>
            <w:tcW w:w="2910" w:type="dxa"/>
            <w:gridSpan w:val="2"/>
            <w:tcBorders>
              <w:top w:val="single" w:sz="4" w:space="0" w:color="auto"/>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964" w:firstLine="0"/>
              <w:contextualSpacing w:val="0"/>
              <w:jc w:val="right"/>
              <w:rPr>
                <w:rFonts w:eastAsia="Times New Roman" w:cs="Times New Roman"/>
                <w:sz w:val="16"/>
                <w:szCs w:val="20"/>
                <w:lang w:bidi="ar-SA"/>
              </w:rPr>
            </w:pPr>
            <w:r>
              <w:rPr>
                <w:rFonts w:eastAsia="Times New Roman" w:cs="Times New Roman"/>
                <w:sz w:val="16"/>
                <w:szCs w:val="20"/>
                <w:lang w:bidi="ar-SA"/>
              </w:rPr>
              <w:t>724 852 737,83</w:t>
            </w:r>
          </w:p>
        </w:tc>
      </w:tr>
      <w:tr>
        <w:tblPrEx>
          <w:tblW w:w="0" w:type="auto"/>
          <w:jc w:val="center"/>
          <w:tblInd w:w="670" w:type="dxa"/>
          <w:tblLayout w:type="fixed"/>
          <w:tblCellMar>
            <w:left w:w="70" w:type="dxa"/>
            <w:right w:w="70" w:type="dxa"/>
          </w:tblCellMar>
          <w:tblLook w:val="04A0"/>
        </w:tblPrEx>
        <w:trPr>
          <w:cantSplit/>
          <w:trHeight w:val="227"/>
          <w:jc w:val="center"/>
        </w:trPr>
        <w:tc>
          <w:tcPr>
            <w:tcW w:w="1800" w:type="dxa"/>
            <w:tcBorders>
              <w:top w:val="nil"/>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potrzeby wyrównawcze</w:t>
            </w:r>
          </w:p>
        </w:tc>
        <w:tc>
          <w:tcPr>
            <w:tcW w:w="600" w:type="dxa"/>
            <w:tcBorders>
              <w:top w:val="nil"/>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w zł</w:t>
            </w:r>
          </w:p>
        </w:tc>
        <w:tc>
          <w:tcPr>
            <w:tcW w:w="3000" w:type="dxa"/>
            <w:gridSpan w:val="2"/>
            <w:tcBorders>
              <w:top w:val="single" w:sz="4" w:space="0" w:color="auto"/>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964" w:firstLine="0"/>
              <w:contextualSpacing w:val="0"/>
              <w:jc w:val="right"/>
              <w:rPr>
                <w:rFonts w:eastAsia="Times New Roman" w:cs="Times New Roman"/>
                <w:sz w:val="16"/>
                <w:szCs w:val="20"/>
                <w:lang w:bidi="ar-SA"/>
              </w:rPr>
            </w:pPr>
            <w:r>
              <w:rPr>
                <w:rFonts w:eastAsia="Times New Roman" w:cs="Times New Roman"/>
                <w:sz w:val="16"/>
                <w:szCs w:val="20"/>
                <w:lang w:bidi="ar-SA"/>
              </w:rPr>
              <w:t>0,00</w:t>
            </w:r>
          </w:p>
        </w:tc>
        <w:tc>
          <w:tcPr>
            <w:tcW w:w="3165" w:type="dxa"/>
            <w:gridSpan w:val="2"/>
            <w:tcBorders>
              <w:top w:val="single" w:sz="4" w:space="0" w:color="auto"/>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964" w:firstLine="0"/>
              <w:contextualSpacing w:val="0"/>
              <w:jc w:val="right"/>
              <w:rPr>
                <w:rFonts w:eastAsia="Times New Roman" w:cs="Times New Roman"/>
                <w:sz w:val="16"/>
                <w:szCs w:val="20"/>
                <w:lang w:bidi="ar-SA"/>
              </w:rPr>
            </w:pPr>
            <w:r>
              <w:rPr>
                <w:rFonts w:eastAsia="Times New Roman" w:cs="Times New Roman"/>
                <w:sz w:val="16"/>
                <w:szCs w:val="20"/>
                <w:lang w:bidi="ar-SA"/>
              </w:rPr>
              <w:t>99 765 124,00</w:t>
            </w:r>
          </w:p>
        </w:tc>
        <w:tc>
          <w:tcPr>
            <w:tcW w:w="3165" w:type="dxa"/>
            <w:gridSpan w:val="2"/>
            <w:tcBorders>
              <w:top w:val="single" w:sz="4" w:space="0" w:color="auto"/>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964" w:firstLine="0"/>
              <w:contextualSpacing w:val="0"/>
              <w:jc w:val="right"/>
              <w:rPr>
                <w:rFonts w:eastAsia="Times New Roman" w:cs="Times New Roman"/>
                <w:sz w:val="16"/>
                <w:szCs w:val="20"/>
                <w:lang w:bidi="ar-SA"/>
              </w:rPr>
            </w:pPr>
            <w:r>
              <w:rPr>
                <w:rFonts w:eastAsia="Times New Roman" w:cs="Times New Roman"/>
                <w:sz w:val="16"/>
                <w:szCs w:val="20"/>
                <w:lang w:bidi="ar-SA"/>
              </w:rPr>
              <w:t>104 922 675,00</w:t>
            </w:r>
          </w:p>
        </w:tc>
        <w:tc>
          <w:tcPr>
            <w:tcW w:w="2910" w:type="dxa"/>
            <w:gridSpan w:val="2"/>
            <w:tcBorders>
              <w:top w:val="single" w:sz="4" w:space="0" w:color="auto"/>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964" w:firstLine="0"/>
              <w:contextualSpacing w:val="0"/>
              <w:jc w:val="right"/>
              <w:rPr>
                <w:rFonts w:eastAsia="Times New Roman" w:cs="Times New Roman"/>
                <w:sz w:val="16"/>
                <w:szCs w:val="20"/>
                <w:lang w:bidi="ar-SA"/>
              </w:rPr>
            </w:pPr>
            <w:r>
              <w:rPr>
                <w:rFonts w:eastAsia="Times New Roman" w:cs="Times New Roman"/>
                <w:sz w:val="16"/>
                <w:szCs w:val="20"/>
                <w:lang w:bidi="ar-SA"/>
              </w:rPr>
              <w:t>110 259 582,00</w:t>
            </w:r>
          </w:p>
        </w:tc>
      </w:tr>
      <w:tr>
        <w:tblPrEx>
          <w:tblW w:w="0" w:type="auto"/>
          <w:jc w:val="center"/>
          <w:tblInd w:w="670" w:type="dxa"/>
          <w:tblLayout w:type="fixed"/>
          <w:tblCellMar>
            <w:left w:w="70" w:type="dxa"/>
            <w:right w:w="70" w:type="dxa"/>
          </w:tblCellMar>
          <w:tblLook w:val="04A0"/>
        </w:tblPrEx>
        <w:trPr>
          <w:cantSplit/>
          <w:trHeight w:val="227"/>
          <w:jc w:val="center"/>
        </w:trPr>
        <w:tc>
          <w:tcPr>
            <w:tcW w:w="1800" w:type="dxa"/>
            <w:tcBorders>
              <w:top w:val="nil"/>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potrzeby oświatowe</w:t>
            </w:r>
          </w:p>
        </w:tc>
        <w:tc>
          <w:tcPr>
            <w:tcW w:w="600" w:type="dxa"/>
            <w:tcBorders>
              <w:top w:val="nil"/>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w zł</w:t>
            </w:r>
          </w:p>
        </w:tc>
        <w:tc>
          <w:tcPr>
            <w:tcW w:w="3000" w:type="dxa"/>
            <w:gridSpan w:val="2"/>
            <w:tcBorders>
              <w:top w:val="single" w:sz="4" w:space="0" w:color="auto"/>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964" w:firstLine="0"/>
              <w:contextualSpacing w:val="0"/>
              <w:jc w:val="right"/>
              <w:rPr>
                <w:rFonts w:eastAsia="Times New Roman" w:cs="Times New Roman"/>
                <w:sz w:val="16"/>
                <w:szCs w:val="20"/>
                <w:lang w:bidi="ar-SA"/>
              </w:rPr>
            </w:pPr>
            <w:r>
              <w:rPr>
                <w:rFonts w:eastAsia="Times New Roman" w:cs="Times New Roman"/>
                <w:sz w:val="16"/>
                <w:szCs w:val="20"/>
                <w:lang w:bidi="ar-SA"/>
              </w:rPr>
              <w:t>408 605 956,00</w:t>
            </w:r>
          </w:p>
        </w:tc>
        <w:tc>
          <w:tcPr>
            <w:tcW w:w="3165" w:type="dxa"/>
            <w:gridSpan w:val="2"/>
            <w:tcBorders>
              <w:top w:val="single" w:sz="4" w:space="0" w:color="auto"/>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964" w:firstLine="0"/>
              <w:contextualSpacing w:val="0"/>
              <w:jc w:val="right"/>
              <w:rPr>
                <w:rFonts w:eastAsia="Times New Roman" w:cs="Times New Roman"/>
                <w:sz w:val="16"/>
                <w:szCs w:val="20"/>
                <w:lang w:bidi="ar-SA"/>
              </w:rPr>
            </w:pPr>
            <w:r>
              <w:rPr>
                <w:rFonts w:eastAsia="Times New Roman" w:cs="Times New Roman"/>
                <w:sz w:val="16"/>
                <w:szCs w:val="20"/>
                <w:lang w:bidi="ar-SA"/>
              </w:rPr>
              <w:t>457 270 925,00</w:t>
            </w:r>
          </w:p>
        </w:tc>
        <w:tc>
          <w:tcPr>
            <w:tcW w:w="3165" w:type="dxa"/>
            <w:gridSpan w:val="2"/>
            <w:tcBorders>
              <w:top w:val="single" w:sz="4" w:space="0" w:color="auto"/>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964" w:firstLine="0"/>
              <w:contextualSpacing w:val="0"/>
              <w:jc w:val="right"/>
              <w:rPr>
                <w:rFonts w:eastAsia="Times New Roman" w:cs="Times New Roman"/>
                <w:sz w:val="16"/>
                <w:szCs w:val="20"/>
                <w:lang w:bidi="ar-SA"/>
              </w:rPr>
            </w:pPr>
            <w:r>
              <w:rPr>
                <w:rFonts w:eastAsia="Times New Roman" w:cs="Times New Roman"/>
                <w:sz w:val="16"/>
                <w:szCs w:val="20"/>
                <w:lang w:bidi="ar-SA"/>
              </w:rPr>
              <w:t>502 998 018,00</w:t>
            </w:r>
          </w:p>
        </w:tc>
        <w:tc>
          <w:tcPr>
            <w:tcW w:w="2910" w:type="dxa"/>
            <w:gridSpan w:val="2"/>
            <w:tcBorders>
              <w:top w:val="single" w:sz="4" w:space="0" w:color="auto"/>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964" w:firstLine="0"/>
              <w:contextualSpacing w:val="0"/>
              <w:jc w:val="right"/>
              <w:rPr>
                <w:rFonts w:eastAsia="Times New Roman" w:cs="Times New Roman"/>
                <w:sz w:val="16"/>
                <w:szCs w:val="20"/>
                <w:lang w:bidi="ar-SA"/>
              </w:rPr>
            </w:pPr>
            <w:r>
              <w:rPr>
                <w:rFonts w:eastAsia="Times New Roman" w:cs="Times New Roman"/>
                <w:sz w:val="16"/>
                <w:szCs w:val="20"/>
                <w:lang w:bidi="ar-SA"/>
              </w:rPr>
              <w:t>553 297 820,00</w:t>
            </w:r>
          </w:p>
        </w:tc>
      </w:tr>
      <w:tr>
        <w:tblPrEx>
          <w:tblW w:w="0" w:type="auto"/>
          <w:jc w:val="center"/>
          <w:tblInd w:w="670" w:type="dxa"/>
          <w:tblLayout w:type="fixed"/>
          <w:tblCellMar>
            <w:left w:w="70" w:type="dxa"/>
            <w:right w:w="70" w:type="dxa"/>
          </w:tblCellMar>
          <w:tblLook w:val="04A0"/>
        </w:tblPrEx>
        <w:trPr>
          <w:cantSplit/>
          <w:trHeight w:val="227"/>
          <w:jc w:val="center"/>
        </w:trPr>
        <w:tc>
          <w:tcPr>
            <w:tcW w:w="1800" w:type="dxa"/>
            <w:tcBorders>
              <w:top w:val="nil"/>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potrzeby rozwojowe</w:t>
            </w:r>
          </w:p>
        </w:tc>
        <w:tc>
          <w:tcPr>
            <w:tcW w:w="600" w:type="dxa"/>
            <w:tcBorders>
              <w:top w:val="nil"/>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w zł</w:t>
            </w:r>
          </w:p>
        </w:tc>
        <w:tc>
          <w:tcPr>
            <w:tcW w:w="3000" w:type="dxa"/>
            <w:gridSpan w:val="2"/>
            <w:tcBorders>
              <w:top w:val="single" w:sz="4" w:space="0" w:color="auto"/>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964" w:firstLine="0"/>
              <w:contextualSpacing w:val="0"/>
              <w:jc w:val="right"/>
              <w:rPr>
                <w:rFonts w:eastAsia="Times New Roman" w:cs="Times New Roman"/>
                <w:sz w:val="16"/>
                <w:szCs w:val="20"/>
                <w:lang w:bidi="ar-SA"/>
              </w:rPr>
            </w:pPr>
            <w:r>
              <w:rPr>
                <w:rFonts w:eastAsia="Times New Roman" w:cs="Times New Roman"/>
                <w:sz w:val="16"/>
                <w:szCs w:val="20"/>
                <w:lang w:bidi="ar-SA"/>
              </w:rPr>
              <w:t>26 727 362,00</w:t>
            </w:r>
          </w:p>
        </w:tc>
        <w:tc>
          <w:tcPr>
            <w:tcW w:w="3165" w:type="dxa"/>
            <w:gridSpan w:val="2"/>
            <w:tcBorders>
              <w:top w:val="single" w:sz="4" w:space="0" w:color="auto"/>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964" w:firstLine="0"/>
              <w:contextualSpacing w:val="0"/>
              <w:jc w:val="right"/>
              <w:rPr>
                <w:rFonts w:eastAsia="Times New Roman" w:cs="Times New Roman"/>
                <w:sz w:val="16"/>
                <w:szCs w:val="20"/>
                <w:lang w:bidi="ar-SA"/>
              </w:rPr>
            </w:pPr>
            <w:r>
              <w:rPr>
                <w:rFonts w:eastAsia="Times New Roman" w:cs="Times New Roman"/>
                <w:sz w:val="16"/>
                <w:szCs w:val="20"/>
                <w:lang w:bidi="ar-SA"/>
              </w:rPr>
              <w:t>27 422 273,00</w:t>
            </w:r>
          </w:p>
        </w:tc>
        <w:tc>
          <w:tcPr>
            <w:tcW w:w="3165" w:type="dxa"/>
            <w:gridSpan w:val="2"/>
            <w:tcBorders>
              <w:top w:val="single" w:sz="4" w:space="0" w:color="auto"/>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964" w:firstLine="0"/>
              <w:contextualSpacing w:val="0"/>
              <w:jc w:val="right"/>
              <w:rPr>
                <w:rFonts w:eastAsia="Times New Roman" w:cs="Times New Roman"/>
                <w:sz w:val="16"/>
                <w:szCs w:val="20"/>
                <w:lang w:bidi="ar-SA"/>
              </w:rPr>
            </w:pPr>
            <w:r>
              <w:rPr>
                <w:rFonts w:eastAsia="Times New Roman" w:cs="Times New Roman"/>
                <w:sz w:val="16"/>
                <w:szCs w:val="20"/>
                <w:lang w:bidi="ar-SA"/>
              </w:rPr>
              <w:t>28 107 830,00</w:t>
            </w:r>
          </w:p>
        </w:tc>
        <w:tc>
          <w:tcPr>
            <w:tcW w:w="2910" w:type="dxa"/>
            <w:gridSpan w:val="2"/>
            <w:tcBorders>
              <w:top w:val="single" w:sz="4" w:space="0" w:color="auto"/>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964" w:firstLine="0"/>
              <w:contextualSpacing w:val="0"/>
              <w:jc w:val="right"/>
              <w:rPr>
                <w:rFonts w:eastAsia="Times New Roman" w:cs="Times New Roman"/>
                <w:sz w:val="16"/>
                <w:szCs w:val="20"/>
                <w:lang w:bidi="ar-SA"/>
              </w:rPr>
            </w:pPr>
            <w:r>
              <w:rPr>
                <w:rFonts w:eastAsia="Times New Roman" w:cs="Times New Roman"/>
                <w:sz w:val="16"/>
                <w:szCs w:val="20"/>
                <w:lang w:bidi="ar-SA"/>
              </w:rPr>
              <w:t>28 782 418,00</w:t>
            </w:r>
          </w:p>
        </w:tc>
      </w:tr>
      <w:tr>
        <w:tblPrEx>
          <w:tblW w:w="0" w:type="auto"/>
          <w:jc w:val="center"/>
          <w:tblInd w:w="670" w:type="dxa"/>
          <w:tblLayout w:type="fixed"/>
          <w:tblCellMar>
            <w:left w:w="70" w:type="dxa"/>
            <w:right w:w="70" w:type="dxa"/>
          </w:tblCellMar>
          <w:tblLook w:val="04A0"/>
        </w:tblPrEx>
        <w:trPr>
          <w:cantSplit/>
          <w:trHeight w:val="227"/>
          <w:jc w:val="center"/>
        </w:trPr>
        <w:tc>
          <w:tcPr>
            <w:tcW w:w="1800" w:type="dxa"/>
            <w:tcBorders>
              <w:top w:val="nil"/>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potrzeby ekologiczne</w:t>
            </w:r>
          </w:p>
        </w:tc>
        <w:tc>
          <w:tcPr>
            <w:tcW w:w="600" w:type="dxa"/>
            <w:tcBorders>
              <w:top w:val="nil"/>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w zł</w:t>
            </w:r>
          </w:p>
        </w:tc>
        <w:tc>
          <w:tcPr>
            <w:tcW w:w="3000" w:type="dxa"/>
            <w:gridSpan w:val="2"/>
            <w:tcBorders>
              <w:top w:val="single" w:sz="4" w:space="0" w:color="auto"/>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964" w:firstLine="0"/>
              <w:contextualSpacing w:val="0"/>
              <w:jc w:val="right"/>
              <w:rPr>
                <w:rFonts w:eastAsia="Times New Roman" w:cs="Times New Roman"/>
                <w:sz w:val="16"/>
                <w:szCs w:val="20"/>
                <w:lang w:bidi="ar-SA"/>
              </w:rPr>
            </w:pPr>
            <w:r>
              <w:rPr>
                <w:rFonts w:eastAsia="Times New Roman" w:cs="Times New Roman"/>
                <w:sz w:val="16"/>
                <w:szCs w:val="20"/>
                <w:lang w:bidi="ar-SA"/>
              </w:rPr>
              <w:t>63 518</w:t>
            </w:r>
          </w:p>
        </w:tc>
        <w:tc>
          <w:tcPr>
            <w:tcW w:w="3165" w:type="dxa"/>
            <w:gridSpan w:val="2"/>
            <w:tcBorders>
              <w:top w:val="single" w:sz="4" w:space="0" w:color="auto"/>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964" w:firstLine="0"/>
              <w:contextualSpacing w:val="0"/>
              <w:jc w:val="right"/>
              <w:rPr>
                <w:rFonts w:eastAsia="Times New Roman" w:cs="Times New Roman"/>
                <w:sz w:val="16"/>
                <w:szCs w:val="20"/>
                <w:lang w:bidi="ar-SA"/>
              </w:rPr>
            </w:pPr>
            <w:r>
              <w:rPr>
                <w:rFonts w:eastAsia="Times New Roman" w:cs="Times New Roman"/>
                <w:sz w:val="16"/>
                <w:szCs w:val="20"/>
                <w:lang w:bidi="ar-SA"/>
              </w:rPr>
              <w:t>66 376,00</w:t>
            </w:r>
          </w:p>
        </w:tc>
        <w:tc>
          <w:tcPr>
            <w:tcW w:w="3165" w:type="dxa"/>
            <w:gridSpan w:val="2"/>
            <w:tcBorders>
              <w:top w:val="single" w:sz="4" w:space="0" w:color="auto"/>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964" w:firstLine="0"/>
              <w:contextualSpacing w:val="0"/>
              <w:jc w:val="right"/>
              <w:rPr>
                <w:rFonts w:eastAsia="Times New Roman" w:cs="Times New Roman"/>
                <w:sz w:val="16"/>
                <w:szCs w:val="20"/>
                <w:lang w:bidi="ar-SA"/>
              </w:rPr>
            </w:pPr>
            <w:r>
              <w:rPr>
                <w:rFonts w:eastAsia="Times New Roman" w:cs="Times New Roman"/>
                <w:sz w:val="16"/>
                <w:szCs w:val="20"/>
                <w:lang w:bidi="ar-SA"/>
              </w:rPr>
              <w:t>69 363,00</w:t>
            </w:r>
          </w:p>
        </w:tc>
        <w:tc>
          <w:tcPr>
            <w:tcW w:w="2910" w:type="dxa"/>
            <w:gridSpan w:val="2"/>
            <w:tcBorders>
              <w:top w:val="single" w:sz="4" w:space="0" w:color="auto"/>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964" w:firstLine="0"/>
              <w:contextualSpacing w:val="0"/>
              <w:jc w:val="right"/>
              <w:rPr>
                <w:rFonts w:eastAsia="Times New Roman" w:cs="Times New Roman"/>
                <w:sz w:val="16"/>
                <w:szCs w:val="20"/>
                <w:lang w:bidi="ar-SA"/>
              </w:rPr>
            </w:pPr>
            <w:r>
              <w:rPr>
                <w:rFonts w:eastAsia="Times New Roman" w:cs="Times New Roman"/>
                <w:sz w:val="16"/>
                <w:szCs w:val="20"/>
                <w:lang w:bidi="ar-SA"/>
              </w:rPr>
              <w:t>72 484,00</w:t>
            </w:r>
          </w:p>
        </w:tc>
      </w:tr>
      <w:tr>
        <w:tblPrEx>
          <w:tblW w:w="0" w:type="auto"/>
          <w:jc w:val="center"/>
          <w:tblInd w:w="670" w:type="dxa"/>
          <w:tblLayout w:type="fixed"/>
          <w:tblCellMar>
            <w:left w:w="70" w:type="dxa"/>
            <w:right w:w="70" w:type="dxa"/>
          </w:tblCellMar>
          <w:tblLook w:val="04A0"/>
        </w:tblPrEx>
        <w:trPr>
          <w:cantSplit/>
          <w:trHeight w:val="227"/>
          <w:jc w:val="center"/>
        </w:trPr>
        <w:tc>
          <w:tcPr>
            <w:tcW w:w="1800" w:type="dxa"/>
            <w:tcBorders>
              <w:top w:val="nil"/>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potrzeby uzupełniające</w:t>
            </w:r>
          </w:p>
        </w:tc>
        <w:tc>
          <w:tcPr>
            <w:tcW w:w="600" w:type="dxa"/>
            <w:tcBorders>
              <w:top w:val="nil"/>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w zł</w:t>
            </w:r>
          </w:p>
        </w:tc>
        <w:tc>
          <w:tcPr>
            <w:tcW w:w="3000" w:type="dxa"/>
            <w:gridSpan w:val="2"/>
            <w:tcBorders>
              <w:top w:val="single" w:sz="4" w:space="0" w:color="auto"/>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964" w:firstLine="0"/>
              <w:contextualSpacing w:val="0"/>
              <w:jc w:val="right"/>
              <w:rPr>
                <w:rFonts w:eastAsia="Times New Roman" w:cs="Times New Roman"/>
                <w:sz w:val="16"/>
                <w:szCs w:val="20"/>
                <w:lang w:bidi="ar-SA"/>
              </w:rPr>
            </w:pPr>
            <w:r>
              <w:rPr>
                <w:rFonts w:eastAsia="Times New Roman" w:cs="Times New Roman"/>
                <w:sz w:val="16"/>
                <w:szCs w:val="20"/>
                <w:lang w:bidi="ar-SA"/>
              </w:rPr>
              <w:t>28 427 442,00</w:t>
            </w:r>
          </w:p>
        </w:tc>
        <w:tc>
          <w:tcPr>
            <w:tcW w:w="3165" w:type="dxa"/>
            <w:gridSpan w:val="2"/>
            <w:tcBorders>
              <w:top w:val="single" w:sz="4" w:space="0" w:color="auto"/>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964" w:firstLine="0"/>
              <w:contextualSpacing w:val="0"/>
              <w:jc w:val="right"/>
              <w:rPr>
                <w:rFonts w:eastAsia="Times New Roman" w:cs="Times New Roman"/>
                <w:sz w:val="16"/>
                <w:szCs w:val="20"/>
                <w:lang w:bidi="ar-SA"/>
              </w:rPr>
            </w:pPr>
            <w:r>
              <w:rPr>
                <w:rFonts w:eastAsia="Times New Roman" w:cs="Times New Roman"/>
                <w:sz w:val="16"/>
                <w:szCs w:val="20"/>
                <w:lang w:bidi="ar-SA"/>
              </w:rPr>
              <w:t>29 706 676,89</w:t>
            </w:r>
          </w:p>
        </w:tc>
        <w:tc>
          <w:tcPr>
            <w:tcW w:w="3165" w:type="dxa"/>
            <w:gridSpan w:val="2"/>
            <w:tcBorders>
              <w:top w:val="single" w:sz="4" w:space="0" w:color="auto"/>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964" w:firstLine="0"/>
              <w:contextualSpacing w:val="0"/>
              <w:jc w:val="right"/>
              <w:rPr>
                <w:rFonts w:eastAsia="Times New Roman" w:cs="Times New Roman"/>
                <w:sz w:val="16"/>
                <w:szCs w:val="20"/>
                <w:lang w:bidi="ar-SA"/>
              </w:rPr>
            </w:pPr>
            <w:r>
              <w:rPr>
                <w:rFonts w:eastAsia="Times New Roman" w:cs="Times New Roman"/>
                <w:sz w:val="16"/>
                <w:szCs w:val="20"/>
                <w:lang w:bidi="ar-SA"/>
              </w:rPr>
              <w:t>31 043 477,35</w:t>
            </w:r>
          </w:p>
        </w:tc>
        <w:tc>
          <w:tcPr>
            <w:tcW w:w="2910" w:type="dxa"/>
            <w:gridSpan w:val="2"/>
            <w:tcBorders>
              <w:top w:val="single" w:sz="4" w:space="0" w:color="auto"/>
              <w:left w:val="nil"/>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964" w:firstLine="0"/>
              <w:contextualSpacing w:val="0"/>
              <w:jc w:val="right"/>
              <w:rPr>
                <w:rFonts w:eastAsia="Times New Roman" w:cs="Times New Roman"/>
                <w:sz w:val="16"/>
                <w:szCs w:val="20"/>
                <w:lang w:bidi="ar-SA"/>
              </w:rPr>
            </w:pPr>
            <w:r>
              <w:rPr>
                <w:rFonts w:eastAsia="Times New Roman" w:cs="Times New Roman"/>
                <w:sz w:val="16"/>
                <w:szCs w:val="20"/>
                <w:lang w:bidi="ar-SA"/>
              </w:rPr>
              <w:t>32 440 433,83</w:t>
            </w:r>
          </w:p>
        </w:tc>
      </w:tr>
    </w:tbl>
    <w:p>
      <w:pPr>
        <w:keepNext w:val="0"/>
        <w:keepLines w:val="0"/>
        <w:widowControl/>
        <w:suppressLineNumbers w:val="0"/>
        <w:shd w:val="clear" w:color="auto" w:fill="auto"/>
        <w:suppressAutoHyphens w:val="0"/>
        <w:spacing w:before="24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W pozostałych latach analizy przyjęto przyrost zgodny z dynamiką określoną w wytycznych dotyczących stosowania jednolitych wskaźników makroekonomicznych będących podstawą oszacowania skutków finansowych projektowanych ustaw, tj. na poziomie prezentowanego wskaźnika CPI.</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b/>
          <w:szCs w:val="20"/>
          <w:lang w:bidi="ar-SA"/>
        </w:rPr>
      </w:pPr>
      <w:r>
        <w:rPr>
          <w:rFonts w:eastAsia="Times New Roman" w:cs="Times New Roman"/>
          <w:b/>
          <w:szCs w:val="20"/>
          <w:lang w:bidi="ar-SA"/>
        </w:rPr>
        <w:t>1.1.5.1 Podatki lokalne</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 xml:space="preserve">W odniesieniu do podatków lokalnych w roku 2026 założono wzrost podatku od nieruchomości, jednakże nie do stawek maksymalnych zgodnie z obwieszczeniem MF z dnia 1 sierpnia 2025 r. w sprawie górnych stawek podatków i opłat lokalnych na rok 2026 (projekty stosownych uchwał zostaną przedstawione na sesji Rady Miejskiej w dniu 24 listopada 2025 r.). </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 xml:space="preserve">Zaplanowano wzrost stawek podatkowych o 4,1% względem szacowanych do uzyskania w 2025 roku dochodów, opierając się o analizy wykonania tych dochodów na dzień 30 września 2025 r. </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 xml:space="preserve">Uzyskano szacowany przyrost planowanych dochodów z tytułu podatku od nieruchomości na poziomie 3,1% względem pierwotnego planu dochodów za rok 2025. Świadczy to o dokonaniu realnych założeń, niższych od planowanego wzrostu stawek w oparciu o rzeczywiste wykonanie w tym zakresie. </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Wzrost pozostałych dochodów bieżących w roku 2026 i w latach 2027-2046 przyjęto zgodnie z dynamiką określoną w wytycznych dotyczących stosowania jednolitych wskaźników makroekonomicznych będących podstawą oszacowania skutków finansowych projektowanych ustaw, tj. na poziomie prezentowanego wskaźnika CPI.</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b/>
          <w:szCs w:val="20"/>
          <w:lang w:bidi="ar-SA"/>
        </w:rPr>
      </w:pPr>
      <w:r>
        <w:rPr>
          <w:rFonts w:eastAsia="Times New Roman" w:cs="Times New Roman"/>
          <w:b/>
          <w:szCs w:val="20"/>
          <w:lang w:bidi="ar-SA"/>
        </w:rPr>
        <w:t>1.1. Dochody bieżące</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Dochody bieżące to wszystkie dochody budżetowe niestanowiące dochodów majątkowych (szerzej omówionych w punkcie 1.2.). Do wartości dochodów prognozowanych w tym punkcie odnoszą się objaśnienia zawarte w punkcie 1., w którym omówiono główne źródła dochodów obejmujące dochody o charakterze bieżącym. Szczegółowo również wyjaśniono problematykę i założenia przyjętych wyliczeń subwencji ogólnej dla miasta, a także przedstawiono wyliczenia dotyczące dochodów z tytułu udziału miasta w dochodach PIT i CIT.</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 xml:space="preserve">Plan dotacji i środków przeznaczonych na cele bieżące przyjęto na 2026 r. na podstawie przedłożonych przez Wojewodę Śląskiego wskaźników, a środki pochodzące z budżetu państwa i innych źródeł na realizację przedsięwzięć ujętych w załączniku nr 2 do wieloletniej prognozy finansowej, </w:t>
      </w:r>
      <w:r>
        <w:rPr>
          <w:rFonts w:eastAsia="Times New Roman" w:cs="Times New Roman"/>
          <w:b/>
          <w:szCs w:val="20"/>
          <w:lang w:bidi="ar-SA"/>
        </w:rPr>
        <w:t>na podstawie zawartych umów lub uzyskanych akceptacji Instytucji Zarządzających</w:t>
      </w:r>
      <w:r>
        <w:rPr>
          <w:rFonts w:eastAsia="Times New Roman" w:cs="Times New Roman"/>
          <w:szCs w:val="20"/>
          <w:lang w:bidi="ar-SA"/>
        </w:rPr>
        <w:t>.</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Wzrost pozostałych dochodów bieżących w latach 2027-2046 przyjęto zgodnie z dynamiką określoną w wytycznych dotyczących stosowania jednolitych wskaźników makroekonomicznych będących podstawą oszacowania skutków finansowych projektowanych ustaw, tj.  na poziomie prezentowanego wskaźnika CPI.</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 xml:space="preserve">Planowane na 2026 r. dochody bieżące w kwocie 1 235 807 614 zł są niższe w porównaniu do planu pierwotnego na 2025 r. o kwotę ponad 3 748 000 zł oraz niższe od planu dochodów na koniec III kwartału 2025 r. o kwotę ponad 64 863 000 zł oraz od planu na 31.10.2025 r. o kwotę 74 383 000 zł. </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 xml:space="preserve">Spadek dochodów bieżących na rok 2026 jest spowodowany w głównej mierze obniżeniem dochodów transferowych z budżetu państwa w stosunku do planu pierwotnego o 2 581 197 zł a biorąc pod uwagę plan finansowy na 30.09.2025 r. o kwotę 17 599 761 zł oraz przyznaniem przez Wojewodę Śląskiego środków na realizację zadań własnych i zleconych finansowanych ze środków dotacji, w kwotach mniejszych i ich sukcesywne uzupełnianie na podstawie decyzji podejmowanych w trakcie trwania roku budżetowego. </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Plan dochodów bieżących na 30 września oraz 31 października 2025 r. jest wyższy od zakładanego planu pierwotnego na rok 2026 w głównej mierze ze względu na przyznawane w trakcie roku budżetowego środki z budżetu państwa w formie dotacji celowych oraz pozyskiwane środki ze źródeł zewnętrznych, w tym z Funduszu Odporności Górnośląsko-Zagłębiowskiej Metropolii, Wojewódzkiego Funduszu Ochrony Środowiska i Gospodarki Wodnej oraz środków europejskich. W okresie od 2 stycznia do 31 października 2025 r. plan dochodów bieżących w zakresie dotacji i dofinansowań wzrósł łącznie o 38 787 160 zł.</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 xml:space="preserve">Materiały informacyjne do projektu budżetu na 2026 rok (tabela 1 i 2) wskazują porównanie dochodów wg działów w zestawieniu plan pierwotny na rok 2025, plan na 30 września i 31 października 2025 r. </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Znaczące dla budżetu zmiany względem planu na dzień 31 października 2025 r. zachodzą w następujących działach i wynikają z:</w:t>
      </w:r>
    </w:p>
    <w:p>
      <w:pPr>
        <w:keepNext w:val="0"/>
        <w:keepLines w:val="0"/>
        <w:widowControl/>
        <w:numPr>
          <w:ilvl w:val="0"/>
          <w:numId w:val="3"/>
        </w:numPr>
        <w:suppressLineNumbers w:val="0"/>
        <w:shd w:val="clear" w:color="auto" w:fill="auto"/>
        <w:suppressAutoHyphens w:val="0"/>
        <w:spacing w:before="0" w:beforeAutospacing="0" w:after="240" w:afterAutospacing="0" w:line="240" w:lineRule="auto"/>
        <w:ind w:left="720" w:right="0" w:hanging="360"/>
        <w:contextualSpacing w:val="0"/>
        <w:jc w:val="both"/>
        <w:rPr>
          <w:rFonts w:eastAsia="Times New Roman" w:cs="Times New Roman"/>
          <w:szCs w:val="20"/>
          <w:lang w:bidi="ar-SA"/>
        </w:rPr>
      </w:pPr>
      <w:r>
        <w:rPr>
          <w:rFonts w:eastAsia="Times New Roman" w:cs="Times New Roman"/>
          <w:szCs w:val="20"/>
          <w:lang w:bidi="ar-SA"/>
        </w:rPr>
        <w:t xml:space="preserve">dział </w:t>
      </w:r>
      <w:r>
        <w:rPr>
          <w:rFonts w:eastAsia="Times New Roman" w:cs="Times New Roman"/>
          <w:i/>
          <w:szCs w:val="20"/>
          <w:lang w:bidi="ar-SA"/>
        </w:rPr>
        <w:t>600 – Transport i łączność</w:t>
      </w:r>
      <w:r>
        <w:rPr>
          <w:rFonts w:eastAsia="Times New Roman" w:cs="Times New Roman"/>
          <w:szCs w:val="20"/>
          <w:lang w:bidi="ar-SA"/>
        </w:rPr>
        <w:t>: otrzymanej w 2025 r. pomocy finansowej z Funduszu Odporności GZM na dofinansowanie realizacji zadań bieżących w kwocie ponad 4 600 000 zł;</w:t>
      </w:r>
    </w:p>
    <w:p>
      <w:pPr>
        <w:keepNext w:val="0"/>
        <w:keepLines w:val="0"/>
        <w:widowControl/>
        <w:numPr>
          <w:ilvl w:val="0"/>
          <w:numId w:val="3"/>
        </w:numPr>
        <w:suppressLineNumbers w:val="0"/>
        <w:shd w:val="clear" w:color="auto" w:fill="auto"/>
        <w:suppressAutoHyphens w:val="0"/>
        <w:spacing w:before="0" w:beforeAutospacing="0" w:after="240" w:afterAutospacing="0" w:line="240" w:lineRule="auto"/>
        <w:ind w:left="720" w:right="0" w:hanging="360"/>
        <w:contextualSpacing w:val="0"/>
        <w:jc w:val="both"/>
        <w:rPr>
          <w:rFonts w:eastAsia="Times New Roman" w:cs="Times New Roman"/>
          <w:szCs w:val="20"/>
          <w:lang w:bidi="ar-SA"/>
        </w:rPr>
      </w:pPr>
      <w:r>
        <w:rPr>
          <w:rFonts w:eastAsia="Times New Roman" w:cs="Times New Roman"/>
          <w:i/>
          <w:szCs w:val="20"/>
          <w:lang w:bidi="ar-SA"/>
        </w:rPr>
        <w:t>dział 700 – Gospodarka mieszkaniowa</w:t>
      </w:r>
      <w:r>
        <w:rPr>
          <w:rFonts w:eastAsia="Times New Roman" w:cs="Times New Roman"/>
          <w:szCs w:val="20"/>
          <w:lang w:bidi="ar-SA"/>
        </w:rPr>
        <w:t>: otrzymanych w 2025 r. odszkodowań za szkody górnicze w kwocie ponad 8 600 000 zł, których nie uzyska się w 2026 r.;</w:t>
      </w:r>
    </w:p>
    <w:p>
      <w:pPr>
        <w:keepNext w:val="0"/>
        <w:keepLines w:val="0"/>
        <w:widowControl/>
        <w:numPr>
          <w:ilvl w:val="0"/>
          <w:numId w:val="3"/>
        </w:numPr>
        <w:suppressLineNumbers w:val="0"/>
        <w:shd w:val="clear" w:color="auto" w:fill="auto"/>
        <w:suppressAutoHyphens w:val="0"/>
        <w:spacing w:before="0" w:beforeAutospacing="0" w:after="240" w:afterAutospacing="0" w:line="240" w:lineRule="auto"/>
        <w:ind w:left="720" w:right="0" w:hanging="360"/>
        <w:contextualSpacing w:val="0"/>
        <w:jc w:val="both"/>
        <w:rPr>
          <w:rFonts w:eastAsia="Times New Roman" w:cs="Times New Roman"/>
          <w:szCs w:val="20"/>
          <w:lang w:bidi="ar-SA"/>
        </w:rPr>
      </w:pPr>
      <w:r>
        <w:rPr>
          <w:rFonts w:eastAsia="Times New Roman" w:cs="Times New Roman"/>
          <w:i/>
          <w:szCs w:val="20"/>
          <w:lang w:bidi="ar-SA"/>
        </w:rPr>
        <w:t>dział 756 – Dochody od osób prawnych, osób fizycznych i od innych jednostek nieposiadającej osobowości prawnej oraz wydatki związane z ich poborem</w:t>
      </w:r>
      <w:r>
        <w:rPr>
          <w:rFonts w:eastAsia="Times New Roman" w:cs="Times New Roman"/>
          <w:szCs w:val="20"/>
          <w:lang w:bidi="ar-SA"/>
        </w:rPr>
        <w:t>: wzrostu planowanych wpływów z tytułu udziału w PIT i CIT (zgodnie z informacją MF) o kwotę 59 064 999 zł oraz przewidywanego zwiększenia wpływów z tytułu podatku od nieruchomości z uwagi na zmianę stawek, co opisano w pkt. 1.1.5.1 niniejszego opracowania. Ponadto w planie dochodów na 2025 r. uwzględniono wpływy z tytułu wypłaty dywidend na kwotę 5 781 091 zł, natomiast w 2026 r. dochody z tego tytułu zostaną zaplanowane w przypadku uzyskania wiążących dokumentów w tym zakresie;</w:t>
      </w:r>
    </w:p>
    <w:p>
      <w:pPr>
        <w:keepNext w:val="0"/>
        <w:keepLines w:val="0"/>
        <w:widowControl/>
        <w:numPr>
          <w:ilvl w:val="0"/>
          <w:numId w:val="3"/>
        </w:numPr>
        <w:suppressLineNumbers w:val="0"/>
        <w:shd w:val="clear" w:color="auto" w:fill="auto"/>
        <w:suppressAutoHyphens w:val="0"/>
        <w:spacing w:before="0" w:beforeAutospacing="0" w:after="240" w:afterAutospacing="0" w:line="240" w:lineRule="auto"/>
        <w:ind w:left="720" w:right="0" w:hanging="360"/>
        <w:contextualSpacing w:val="0"/>
        <w:jc w:val="both"/>
        <w:rPr>
          <w:rFonts w:eastAsia="Times New Roman" w:cs="Times New Roman"/>
          <w:szCs w:val="20"/>
          <w:lang w:bidi="ar-SA"/>
        </w:rPr>
      </w:pPr>
      <w:r>
        <w:rPr>
          <w:rFonts w:eastAsia="Times New Roman" w:cs="Times New Roman"/>
          <w:i/>
          <w:szCs w:val="20"/>
          <w:lang w:bidi="ar-SA"/>
        </w:rPr>
        <w:t>dział 758 – Różne rozliczenia</w:t>
      </w:r>
      <w:r>
        <w:rPr>
          <w:rFonts w:eastAsia="Times New Roman" w:cs="Times New Roman"/>
          <w:szCs w:val="20"/>
          <w:lang w:bidi="ar-SA"/>
        </w:rPr>
        <w:t>: rażącego obniżenia należnej miastu subwencji ogólnej o kwotę aż 61 646 196 zł. Ponadto w roku 2025 przyznano miastu dodatkowe środki z tytułu uzupełnienia subwencji ogólnej w kwocie 17 204 812 zł oraz wpływy ze środków Funduszu Pomocy na realizację dodatkowych zadań oświatowych w kwocie 9 246 758 zł;</w:t>
      </w:r>
    </w:p>
    <w:p>
      <w:pPr>
        <w:keepNext w:val="0"/>
        <w:keepLines w:val="0"/>
        <w:widowControl/>
        <w:numPr>
          <w:ilvl w:val="0"/>
          <w:numId w:val="3"/>
        </w:numPr>
        <w:suppressLineNumbers w:val="0"/>
        <w:shd w:val="clear" w:color="auto" w:fill="auto"/>
        <w:suppressAutoHyphens w:val="0"/>
        <w:spacing w:before="0" w:beforeAutospacing="0" w:after="240" w:afterAutospacing="0" w:line="240" w:lineRule="auto"/>
        <w:ind w:left="720" w:right="0" w:hanging="360"/>
        <w:contextualSpacing w:val="0"/>
        <w:jc w:val="both"/>
        <w:rPr>
          <w:rFonts w:eastAsia="Times New Roman" w:cs="Times New Roman"/>
          <w:szCs w:val="20"/>
          <w:lang w:bidi="ar-SA"/>
        </w:rPr>
      </w:pPr>
      <w:r>
        <w:rPr>
          <w:rFonts w:eastAsia="Times New Roman" w:cs="Times New Roman"/>
          <w:i/>
          <w:szCs w:val="20"/>
          <w:lang w:bidi="ar-SA"/>
        </w:rPr>
        <w:t>dział 801 – Oświata i wychowanie</w:t>
      </w:r>
      <w:r>
        <w:rPr>
          <w:rFonts w:eastAsia="Times New Roman" w:cs="Times New Roman"/>
          <w:szCs w:val="20"/>
          <w:lang w:bidi="ar-SA"/>
        </w:rPr>
        <w:t>: zakończenia realizacji w 2025 r. projektów współfinansowanych środkami europejskimi przez bytomskie szkoły średnie o wartości ponad 7 000 000 zł;</w:t>
      </w:r>
    </w:p>
    <w:p>
      <w:pPr>
        <w:keepNext w:val="0"/>
        <w:keepLines w:val="0"/>
        <w:widowControl/>
        <w:numPr>
          <w:ilvl w:val="0"/>
          <w:numId w:val="3"/>
        </w:numPr>
        <w:suppressLineNumbers w:val="0"/>
        <w:shd w:val="clear" w:color="auto" w:fill="auto"/>
        <w:suppressAutoHyphens w:val="0"/>
        <w:spacing w:before="0" w:beforeAutospacing="0" w:after="240" w:afterAutospacing="0" w:line="240" w:lineRule="auto"/>
        <w:ind w:left="720" w:right="0" w:hanging="360"/>
        <w:contextualSpacing w:val="0"/>
        <w:jc w:val="both"/>
        <w:rPr>
          <w:rFonts w:eastAsia="Times New Roman" w:cs="Times New Roman"/>
          <w:szCs w:val="20"/>
          <w:lang w:bidi="ar-SA"/>
        </w:rPr>
      </w:pPr>
      <w:r>
        <w:rPr>
          <w:rFonts w:eastAsia="Times New Roman" w:cs="Times New Roman"/>
          <w:i/>
          <w:szCs w:val="20"/>
          <w:lang w:bidi="ar-SA"/>
        </w:rPr>
        <w:t>działy 852 – Pomoc społeczna</w:t>
      </w:r>
      <w:r>
        <w:rPr>
          <w:rFonts w:eastAsia="Times New Roman" w:cs="Times New Roman"/>
          <w:szCs w:val="20"/>
          <w:lang w:bidi="ar-SA"/>
        </w:rPr>
        <w:t xml:space="preserve"> i </w:t>
      </w:r>
      <w:r>
        <w:rPr>
          <w:rFonts w:eastAsia="Times New Roman" w:cs="Times New Roman"/>
          <w:i/>
          <w:szCs w:val="20"/>
          <w:lang w:bidi="ar-SA"/>
        </w:rPr>
        <w:t>855 – Rodzina</w:t>
      </w:r>
      <w:r>
        <w:rPr>
          <w:rFonts w:eastAsia="Times New Roman" w:cs="Times New Roman"/>
          <w:szCs w:val="20"/>
          <w:lang w:bidi="ar-SA"/>
        </w:rPr>
        <w:t>: przyznania przez Wojewodę Śląskiego w trakcie 2025 r. środków w formie dotacji na realizację zadań z zakresu pomocy społecznej, które nie są zabezpieczone na etapie pierwotnego planu w łącznej kwocie ponad 18 000 000 zł;</w:t>
      </w:r>
    </w:p>
    <w:p>
      <w:pPr>
        <w:keepNext w:val="0"/>
        <w:keepLines w:val="0"/>
        <w:widowControl/>
        <w:numPr>
          <w:ilvl w:val="0"/>
          <w:numId w:val="3"/>
        </w:numPr>
        <w:suppressLineNumbers w:val="0"/>
        <w:shd w:val="clear" w:color="auto" w:fill="auto"/>
        <w:suppressAutoHyphens w:val="0"/>
        <w:spacing w:before="0" w:beforeAutospacing="0" w:after="240" w:afterAutospacing="0" w:line="240" w:lineRule="auto"/>
        <w:ind w:left="720" w:right="0" w:hanging="360"/>
        <w:contextualSpacing w:val="0"/>
        <w:jc w:val="both"/>
        <w:rPr>
          <w:rFonts w:eastAsia="Times New Roman" w:cs="Times New Roman"/>
          <w:szCs w:val="20"/>
          <w:lang w:bidi="ar-SA"/>
        </w:rPr>
      </w:pPr>
      <w:r>
        <w:rPr>
          <w:rFonts w:eastAsia="Times New Roman" w:cs="Times New Roman"/>
          <w:i/>
          <w:szCs w:val="20"/>
          <w:lang w:bidi="ar-SA"/>
        </w:rPr>
        <w:t>dział 900 – Gospodarka komunalna i ochrona środowiska</w:t>
      </w:r>
      <w:r>
        <w:rPr>
          <w:rFonts w:eastAsia="Times New Roman" w:cs="Times New Roman"/>
          <w:szCs w:val="20"/>
          <w:lang w:bidi="ar-SA"/>
        </w:rPr>
        <w:t>: harmonogramu realizacji projektów z zakresu odnawialnych źródeł energii współfinansowanych środkami europejskimi (kwota ponad 1 600 000 zł) oraz uzyskania w 2025 r. kar w kwocie ponad 800 000 zł, jak również ubytku liczby mieszkańców Bytomia, przekładającego się na wysokość planowanych do pozyskania opłat z tytułu gospodarowania odpadami komunalnymi.</w:t>
      </w:r>
    </w:p>
    <w:p>
      <w:pPr>
        <w:keepNext w:val="0"/>
        <w:keepLines w:val="0"/>
        <w:widowControl/>
        <w:suppressLineNumbers w:val="0"/>
        <w:shd w:val="clear" w:color="auto" w:fill="auto"/>
        <w:suppressAutoHyphens w:val="0"/>
        <w:spacing w:before="0" w:beforeAutospacing="0" w:after="0" w:afterAutospacing="0" w:line="240" w:lineRule="auto"/>
        <w:ind w:left="0" w:right="0" w:firstLine="357"/>
        <w:contextualSpacing w:val="0"/>
        <w:jc w:val="both"/>
        <w:rPr>
          <w:rFonts w:eastAsia="Times New Roman" w:cs="Times New Roman"/>
          <w:szCs w:val="20"/>
          <w:lang w:bidi="ar-SA"/>
        </w:rPr>
      </w:pPr>
      <w:r>
        <w:rPr>
          <w:rFonts w:eastAsia="Times New Roman" w:cs="Times New Roman"/>
          <w:szCs w:val="20"/>
          <w:lang w:bidi="ar-SA"/>
        </w:rPr>
        <w:t>Na lata 2027-2029 dokonano szczegółowych wyliczeń na podstawie przepisów ww. ustawy dotyczących:</w:t>
      </w:r>
    </w:p>
    <w:p>
      <w:pPr>
        <w:keepNext w:val="0"/>
        <w:keepLines w:val="0"/>
        <w:widowControl/>
        <w:numPr>
          <w:ilvl w:val="0"/>
          <w:numId w:val="1"/>
        </w:numPr>
        <w:suppressLineNumbers w:val="0"/>
        <w:shd w:val="clear" w:color="auto" w:fill="auto"/>
        <w:suppressAutoHyphens w:val="0"/>
        <w:spacing w:before="0" w:beforeAutospacing="0" w:after="0" w:afterAutospacing="0" w:line="240" w:lineRule="auto"/>
        <w:ind w:left="1077" w:right="0" w:hanging="360"/>
        <w:contextualSpacing w:val="0"/>
        <w:jc w:val="both"/>
        <w:rPr>
          <w:rFonts w:eastAsia="Times New Roman" w:cs="Times New Roman"/>
          <w:szCs w:val="20"/>
          <w:lang w:bidi="ar-SA"/>
        </w:rPr>
      </w:pPr>
      <w:r>
        <w:rPr>
          <w:rFonts w:eastAsia="Times New Roman" w:cs="Times New Roman"/>
          <w:szCs w:val="20"/>
          <w:lang w:bidi="ar-SA"/>
        </w:rPr>
        <w:t>udziału w podatku dochodowym od osób fizycznych i prawnych,</w:t>
      </w:r>
    </w:p>
    <w:p>
      <w:pPr>
        <w:keepNext w:val="0"/>
        <w:keepLines w:val="0"/>
        <w:widowControl/>
        <w:numPr>
          <w:ilvl w:val="0"/>
          <w:numId w:val="1"/>
        </w:numPr>
        <w:suppressLineNumbers w:val="0"/>
        <w:shd w:val="clear" w:color="auto" w:fill="auto"/>
        <w:suppressAutoHyphens w:val="0"/>
        <w:spacing w:before="0" w:beforeAutospacing="0" w:after="0" w:afterAutospacing="0" w:line="240" w:lineRule="auto"/>
        <w:ind w:left="1071" w:right="0" w:hanging="357"/>
        <w:contextualSpacing w:val="0"/>
        <w:jc w:val="both"/>
        <w:rPr>
          <w:rFonts w:eastAsia="Times New Roman" w:cs="Times New Roman"/>
          <w:szCs w:val="20"/>
          <w:lang w:bidi="ar-SA"/>
        </w:rPr>
      </w:pPr>
      <w:r>
        <w:rPr>
          <w:rFonts w:eastAsia="Times New Roman" w:cs="Times New Roman"/>
          <w:szCs w:val="20"/>
          <w:lang w:bidi="ar-SA"/>
        </w:rPr>
        <w:t>subwencji ogólnej należnej miastu,</w:t>
      </w:r>
    </w:p>
    <w:p>
      <w:pPr>
        <w:keepNext w:val="0"/>
        <w:keepLines w:val="0"/>
        <w:widowControl/>
        <w:numPr>
          <w:ilvl w:val="0"/>
          <w:numId w:val="1"/>
        </w:numPr>
        <w:suppressLineNumbers w:val="0"/>
        <w:shd w:val="clear" w:color="auto" w:fill="auto"/>
        <w:suppressAutoHyphens w:val="0"/>
        <w:spacing w:before="0" w:beforeAutospacing="0" w:after="240" w:afterAutospacing="0" w:line="240" w:lineRule="auto"/>
        <w:ind w:left="1071" w:right="0" w:hanging="357"/>
        <w:contextualSpacing w:val="0"/>
        <w:jc w:val="both"/>
        <w:rPr>
          <w:rFonts w:eastAsia="Times New Roman" w:cs="Times New Roman"/>
          <w:szCs w:val="20"/>
          <w:lang w:bidi="ar-SA"/>
        </w:rPr>
      </w:pPr>
      <w:r>
        <w:rPr>
          <w:rFonts w:eastAsia="Times New Roman" w:cs="Times New Roman"/>
          <w:szCs w:val="20"/>
          <w:lang w:bidi="ar-SA"/>
        </w:rPr>
        <w:t>potrzeb finansowych, wpływających na kształtowanie dochodów transferowych z budżetu państwa.</w:t>
      </w:r>
    </w:p>
    <w:p>
      <w:pPr>
        <w:keepNext w:val="0"/>
        <w:keepLines w:val="0"/>
        <w:widowControl/>
        <w:suppressLineNumbers w:val="0"/>
        <w:shd w:val="clear" w:color="auto" w:fill="auto"/>
        <w:suppressAutoHyphens w:val="0"/>
        <w:spacing w:before="24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Wyliczeń dokonano na podstawie danych obliczonych dla Bytomia na rok 2026 oraz zbiorczych dla danej kategorii jst, tj. MNPP (w zakresie określonym ustawą).</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Dane dotyczące dochodów w latach 2030-2046 indeksowano wskaźnikiem CPI ustalonym w ww. wytycznych.</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b/>
          <w:szCs w:val="20"/>
          <w:lang w:bidi="ar-SA"/>
        </w:rPr>
      </w:pPr>
      <w:r>
        <w:rPr>
          <w:rFonts w:eastAsia="Times New Roman" w:cs="Times New Roman"/>
          <w:b/>
          <w:szCs w:val="20"/>
          <w:lang w:bidi="ar-SA"/>
        </w:rPr>
        <w:t>1.2. Dochody majątkowe</w:t>
      </w:r>
    </w:p>
    <w:p>
      <w:pPr>
        <w:keepNext w:val="0"/>
        <w:keepLines w:val="0"/>
        <w:widowControl/>
        <w:suppressLineNumbers w:val="0"/>
        <w:shd w:val="clear" w:color="auto" w:fill="auto"/>
        <w:tabs>
          <w:tab w:val="left" w:pos="360"/>
        </w:tabs>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W 2026 roku na wartości ujęte w prognozie składają się dochody ze sprzedaży majątku oraz dotacje i środki przeznaczone na inwestycje. Dochody otrzymane na realizację inwestycji stanowią dotacje celowe i środki z budżetu państwa oraz pozyskane środki z Funduszy Europejskich dla Śląskiego na lata 2021-2027, z Instrumentu na rzecz Odbudowy i Zwiększania Odporności, z Rządowego Funduszu Rozwoju Dróg, Wojewódzkiego Funduszu Ochrony Środowiska i Gospodarki Wodnej oraz z budżetu Górnośląsko-Zagłębiowskiej Metropolii. Szacując dochody majątkowe z tych źródeł, z uwagi na konieczność ostrożnego planowania, w prognozie ujęto tylko kwoty wynikające z zawartych umów oraz zaplanowanych do pozyskania środków pomocy finansowej w formie dotacji.</w:t>
      </w:r>
    </w:p>
    <w:p>
      <w:pPr>
        <w:keepNext w:val="0"/>
        <w:keepLines w:val="0"/>
        <w:widowControl/>
        <w:suppressLineNumbers w:val="0"/>
        <w:shd w:val="clear" w:color="auto" w:fill="auto"/>
        <w:tabs>
          <w:tab w:val="left" w:pos="360"/>
        </w:tabs>
        <w:suppressAutoHyphens w:val="0"/>
        <w:spacing w:before="0" w:beforeAutospacing="0" w:after="240" w:afterAutospacing="0" w:line="240" w:lineRule="auto"/>
        <w:ind w:left="0" w:right="0" w:firstLine="0"/>
        <w:contextualSpacing w:val="0"/>
        <w:rPr>
          <w:rFonts w:eastAsia="Times New Roman" w:cs="Times New Roman"/>
          <w:szCs w:val="20"/>
          <w:lang w:bidi="ar-SA"/>
        </w:rPr>
      </w:pPr>
      <w:r>
        <w:rPr>
          <w:rFonts w:eastAsia="Times New Roman" w:cs="Times New Roman"/>
          <w:szCs w:val="20"/>
          <w:lang w:bidi="ar-SA"/>
        </w:rPr>
        <w:t xml:space="preserve">Na prognozowane w 2026 roku dochody majątkowe w kwocie 126 509 652 zł składają się: </w:t>
      </w:r>
    </w:p>
    <w:p>
      <w:pPr>
        <w:keepNext w:val="0"/>
        <w:keepLines w:val="0"/>
        <w:widowControl/>
        <w:numPr>
          <w:ilvl w:val="0"/>
          <w:numId w:val="5"/>
        </w:numPr>
        <w:suppressLineNumbers w:val="0"/>
        <w:shd w:val="clear" w:color="auto" w:fill="auto"/>
        <w:tabs>
          <w:tab w:val="clear" w:pos="720"/>
        </w:tabs>
        <w:suppressAutoHyphens w:val="0"/>
        <w:spacing w:before="0" w:beforeAutospacing="0" w:after="240" w:afterAutospacing="0" w:line="240" w:lineRule="auto"/>
        <w:ind w:left="340" w:right="0" w:hanging="340"/>
        <w:contextualSpacing w:val="0"/>
        <w:rPr>
          <w:rFonts w:eastAsia="Times New Roman" w:cs="Times New Roman"/>
          <w:szCs w:val="20"/>
          <w:lang w:bidi="ar-SA"/>
        </w:rPr>
      </w:pPr>
      <w:r>
        <w:rPr>
          <w:rFonts w:eastAsia="Times New Roman" w:cs="Times New Roman"/>
          <w:szCs w:val="20"/>
          <w:lang w:bidi="ar-SA"/>
        </w:rPr>
        <w:t>dotacje i środki przeznaczone na inwestycje w kwocie 109 656 952 zł, w tym:</w:t>
      </w:r>
    </w:p>
    <w:p>
      <w:pPr>
        <w:keepNext w:val="0"/>
        <w:keepLines w:val="0"/>
        <w:widowControl/>
        <w:numPr>
          <w:ilvl w:val="0"/>
          <w:numId w:val="6"/>
        </w:numPr>
        <w:suppressLineNumbers w:val="0"/>
        <w:shd w:val="clear" w:color="auto" w:fill="auto"/>
        <w:suppressAutoHyphens w:val="0"/>
        <w:spacing w:before="0" w:beforeAutospacing="0" w:after="120" w:afterAutospacing="0" w:line="240" w:lineRule="auto"/>
        <w:ind w:left="680" w:right="0" w:hanging="340"/>
        <w:contextualSpacing w:val="0"/>
        <w:jc w:val="both"/>
        <w:rPr>
          <w:rFonts w:eastAsia="Times New Roman" w:cs="Times New Roman"/>
          <w:szCs w:val="20"/>
          <w:lang w:bidi="ar-SA"/>
        </w:rPr>
      </w:pPr>
      <w:r>
        <w:rPr>
          <w:rFonts w:eastAsia="Times New Roman" w:cs="Times New Roman"/>
          <w:szCs w:val="20"/>
          <w:lang w:bidi="ar-SA"/>
        </w:rPr>
        <w:t>z Funduszu Przeciwdziałania COVID-19 w kwocie 65 215 759 zł, w tym z Rządowego Funduszu Polski Ład: Programu Inwestycji Strategicznych w kwocie 62 474 706 zł i Programu Odbudowy Zabytków w kwocie 2 741 053 zł,</w:t>
      </w:r>
    </w:p>
    <w:p>
      <w:pPr>
        <w:keepNext w:val="0"/>
        <w:keepLines w:val="0"/>
        <w:widowControl/>
        <w:numPr>
          <w:ilvl w:val="0"/>
          <w:numId w:val="6"/>
        </w:numPr>
        <w:suppressLineNumbers w:val="0"/>
        <w:shd w:val="clear" w:color="auto" w:fill="auto"/>
        <w:suppressAutoHyphens w:val="0"/>
        <w:spacing w:before="0" w:beforeAutospacing="0" w:after="120" w:afterAutospacing="0" w:line="240" w:lineRule="auto"/>
        <w:ind w:left="680" w:right="0" w:hanging="340"/>
        <w:contextualSpacing w:val="0"/>
        <w:jc w:val="both"/>
        <w:rPr>
          <w:rFonts w:eastAsia="Times New Roman" w:cs="Times New Roman"/>
          <w:szCs w:val="20"/>
          <w:lang w:bidi="ar-SA"/>
        </w:rPr>
      </w:pPr>
      <w:r>
        <w:rPr>
          <w:rFonts w:eastAsia="Times New Roman" w:cs="Times New Roman"/>
          <w:szCs w:val="20"/>
          <w:lang w:bidi="ar-SA"/>
        </w:rPr>
        <w:t>z tytułu pomocy finansowej udzielanej między jednostkami samorządu terytorialnego na dofinansowanie własnych zadań inwestycyjnych w kwocie 1 061 988 zł,</w:t>
      </w:r>
    </w:p>
    <w:p>
      <w:pPr>
        <w:keepNext w:val="0"/>
        <w:keepLines w:val="0"/>
        <w:widowControl/>
        <w:numPr>
          <w:ilvl w:val="0"/>
          <w:numId w:val="6"/>
        </w:numPr>
        <w:suppressLineNumbers w:val="0"/>
        <w:shd w:val="clear" w:color="auto" w:fill="auto"/>
        <w:suppressAutoHyphens w:val="0"/>
        <w:spacing w:before="0" w:beforeAutospacing="0" w:after="120" w:afterAutospacing="0" w:line="240" w:lineRule="auto"/>
        <w:ind w:left="680" w:right="0" w:hanging="340"/>
        <w:contextualSpacing w:val="0"/>
        <w:rPr>
          <w:rFonts w:eastAsia="Times New Roman" w:cs="Times New Roman"/>
          <w:szCs w:val="20"/>
          <w:lang w:bidi="ar-SA"/>
        </w:rPr>
      </w:pPr>
      <w:r>
        <w:rPr>
          <w:rFonts w:eastAsia="Times New Roman" w:cs="Times New Roman"/>
          <w:szCs w:val="20"/>
          <w:lang w:bidi="ar-SA"/>
        </w:rPr>
        <w:t>w ramach programów finansowanych z udziałem środków europejskich w kwocie 35 204 093 zł,</w:t>
      </w:r>
    </w:p>
    <w:p>
      <w:pPr>
        <w:keepNext w:val="0"/>
        <w:keepLines w:val="0"/>
        <w:widowControl/>
        <w:numPr>
          <w:ilvl w:val="1"/>
          <w:numId w:val="5"/>
        </w:numPr>
        <w:suppressLineNumbers w:val="0"/>
        <w:shd w:val="clear" w:color="auto" w:fill="auto"/>
        <w:tabs>
          <w:tab w:val="clear" w:pos="1440"/>
        </w:tabs>
        <w:suppressAutoHyphens w:val="0"/>
        <w:spacing w:before="0" w:beforeAutospacing="0" w:after="240" w:afterAutospacing="0" w:line="240" w:lineRule="auto"/>
        <w:ind w:left="680" w:right="0" w:hanging="340"/>
        <w:contextualSpacing w:val="0"/>
        <w:rPr>
          <w:rFonts w:eastAsia="Times New Roman" w:cs="Times New Roman"/>
          <w:szCs w:val="20"/>
          <w:lang w:bidi="ar-SA"/>
        </w:rPr>
      </w:pPr>
      <w:r>
        <w:rPr>
          <w:rFonts w:eastAsia="Times New Roman" w:cs="Times New Roman"/>
          <w:szCs w:val="20"/>
          <w:lang w:bidi="ar-SA"/>
        </w:rPr>
        <w:t xml:space="preserve">z Polskiego Funduszu Rozwoju S.A. w ramach Krajowego Planu Odbudowy i Zwiększania Odporności (KPO) w kwocie 4 662 038 zł, Rządowego Funduszu Rozwoju Dróg w kwocie 1 559 150 zł oraz Wojewódzkiego Funduszu Ochrony Środowiska i Gospodarki Wodnej w Katowicach w kwocie 1 953 924 zł, </w:t>
      </w:r>
    </w:p>
    <w:p>
      <w:pPr>
        <w:keepNext w:val="0"/>
        <w:keepLines w:val="0"/>
        <w:widowControl/>
        <w:numPr>
          <w:ilvl w:val="0"/>
          <w:numId w:val="5"/>
        </w:numPr>
        <w:suppressLineNumbers w:val="0"/>
        <w:shd w:val="clear" w:color="auto" w:fill="auto"/>
        <w:tabs>
          <w:tab w:val="clear" w:pos="720"/>
        </w:tabs>
        <w:suppressAutoHyphens w:val="0"/>
        <w:spacing w:before="0" w:beforeAutospacing="0" w:after="240" w:afterAutospacing="0" w:line="240" w:lineRule="auto"/>
        <w:ind w:left="340" w:right="0" w:hanging="340"/>
        <w:contextualSpacing w:val="0"/>
        <w:rPr>
          <w:rFonts w:eastAsia="Times New Roman" w:cs="Times New Roman"/>
          <w:szCs w:val="20"/>
          <w:lang w:bidi="ar-SA"/>
        </w:rPr>
      </w:pPr>
      <w:r>
        <w:rPr>
          <w:rFonts w:eastAsia="Times New Roman" w:cs="Times New Roman"/>
          <w:szCs w:val="20"/>
          <w:lang w:bidi="ar-SA"/>
        </w:rPr>
        <w:t>dochody ze sprzedaży nieruchomości w kwocie 16 000 000 zł, co szczegółowo przedstawiono w części opisowej projektu budżetu miasta na rok 2026,</w:t>
      </w:r>
    </w:p>
    <w:p>
      <w:pPr>
        <w:keepNext w:val="0"/>
        <w:keepLines w:val="0"/>
        <w:widowControl/>
        <w:numPr>
          <w:ilvl w:val="0"/>
          <w:numId w:val="5"/>
        </w:numPr>
        <w:suppressLineNumbers w:val="0"/>
        <w:shd w:val="clear" w:color="auto" w:fill="auto"/>
        <w:tabs>
          <w:tab w:val="clear" w:pos="720"/>
        </w:tabs>
        <w:suppressAutoHyphens w:val="0"/>
        <w:spacing w:before="0" w:beforeAutospacing="0" w:after="240" w:afterAutospacing="0" w:line="240" w:lineRule="auto"/>
        <w:ind w:left="340" w:right="0" w:hanging="340"/>
        <w:contextualSpacing w:val="0"/>
        <w:rPr>
          <w:rFonts w:eastAsia="Times New Roman" w:cs="Times New Roman"/>
          <w:szCs w:val="20"/>
          <w:lang w:bidi="ar-SA"/>
        </w:rPr>
      </w:pPr>
      <w:r>
        <w:rPr>
          <w:rFonts w:eastAsia="Times New Roman" w:cs="Times New Roman"/>
          <w:szCs w:val="20"/>
          <w:lang w:bidi="ar-SA"/>
        </w:rPr>
        <w:t>dochody z tytułu przekształcenia prawa użytkowania wieczystego w prawo własności w kwocie 800 000 zł,</w:t>
      </w:r>
    </w:p>
    <w:p>
      <w:pPr>
        <w:keepNext w:val="0"/>
        <w:keepLines w:val="0"/>
        <w:widowControl/>
        <w:numPr>
          <w:ilvl w:val="0"/>
          <w:numId w:val="5"/>
        </w:numPr>
        <w:suppressLineNumbers w:val="0"/>
        <w:shd w:val="clear" w:color="auto" w:fill="auto"/>
        <w:tabs>
          <w:tab w:val="clear" w:pos="720"/>
        </w:tabs>
        <w:suppressAutoHyphens w:val="0"/>
        <w:spacing w:before="0" w:beforeAutospacing="0" w:after="240" w:afterAutospacing="0" w:line="240" w:lineRule="auto"/>
        <w:ind w:left="340" w:right="0" w:hanging="340"/>
        <w:contextualSpacing w:val="0"/>
        <w:rPr>
          <w:rFonts w:eastAsia="Times New Roman" w:cs="Times New Roman"/>
          <w:szCs w:val="20"/>
          <w:lang w:bidi="ar-SA"/>
        </w:rPr>
      </w:pPr>
      <w:r>
        <w:rPr>
          <w:rFonts w:eastAsia="Times New Roman" w:cs="Times New Roman"/>
          <w:szCs w:val="20"/>
          <w:lang w:bidi="ar-SA"/>
        </w:rPr>
        <w:t>dochody ze sprzedaży składników majątkowych w kwocie 52 700 zł.</w:t>
      </w:r>
    </w:p>
    <w:p>
      <w:pPr>
        <w:keepNext w:val="0"/>
        <w:keepLines w:val="0"/>
        <w:widowControl/>
        <w:suppressLineNumbers w:val="0"/>
        <w:shd w:val="clear" w:color="auto" w:fill="auto"/>
        <w:tabs>
          <w:tab w:val="left" w:pos="360"/>
        </w:tabs>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W kolejnych latach analizy kształtowanie dochodów ze sprzedaży majątku oszacowano w kwocie 10 000 000 zł rocznie oraz dotacje na dofinansowanie własnych zadań inwestycyjnych zgodnie z podpisanymi umowami, promesami i informacjami uzyskanymi od instytucji dotujących.</w:t>
      </w:r>
    </w:p>
    <w:p>
      <w:pPr>
        <w:keepNext w:val="0"/>
        <w:keepLines w:val="0"/>
        <w:widowControl/>
        <w:suppressLineNumbers w:val="0"/>
        <w:shd w:val="clear" w:color="auto" w:fill="auto"/>
        <w:tabs>
          <w:tab w:val="left" w:pos="360"/>
        </w:tabs>
        <w:suppressAutoHyphens w:val="0"/>
        <w:spacing w:before="0" w:beforeAutospacing="0" w:after="240" w:afterAutospacing="0" w:line="240" w:lineRule="auto"/>
        <w:ind w:left="0" w:right="0" w:firstLine="0"/>
        <w:contextualSpacing w:val="0"/>
        <w:jc w:val="both"/>
        <w:rPr>
          <w:rFonts w:eastAsia="Times New Roman" w:cs="Times New Roman"/>
          <w:b/>
          <w:szCs w:val="20"/>
          <w:lang w:bidi="ar-SA"/>
        </w:rPr>
      </w:pPr>
      <w:r>
        <w:rPr>
          <w:rFonts w:eastAsia="Times New Roman" w:cs="Times New Roman"/>
          <w:color w:val="808080"/>
          <w:szCs w:val="20"/>
          <w:lang w:bidi="ar-SA"/>
        </w:rPr>
        <w:br w:type="page"/>
      </w:r>
      <w:r>
        <w:rPr>
          <w:rFonts w:eastAsia="Times New Roman" w:cs="Times New Roman"/>
          <w:b/>
          <w:szCs w:val="20"/>
          <w:lang w:bidi="ar-SA"/>
        </w:rPr>
        <w:t>2. WYDATKI OGÓŁEM</w:t>
      </w:r>
    </w:p>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Cs w:val="20"/>
          <w:lang w:bidi="ar-SA"/>
        </w:rPr>
      </w:pPr>
      <w:r>
        <w:rPr>
          <w:rFonts w:eastAsia="Times New Roman" w:cs="Times New Roman"/>
          <w:szCs w:val="20"/>
          <w:lang w:bidi="ar-SA"/>
        </w:rPr>
        <w:t>Szczegółowe założenia dotyczące prognozy wydatków w ujęciu makroekonomicznym:</w:t>
      </w:r>
    </w:p>
    <w:p>
      <w:pPr>
        <w:keepNext w:val="0"/>
        <w:keepLines w:val="0"/>
        <w:widowControl/>
        <w:suppressLineNumbers w:val="0"/>
        <w:shd w:val="clear" w:color="auto" w:fill="auto"/>
        <w:suppressAutoHyphens w:val="0"/>
        <w:spacing w:before="0" w:beforeAutospacing="0" w:after="0" w:afterAutospacing="0" w:line="240" w:lineRule="auto"/>
        <w:ind w:left="9928" w:right="0" w:firstLine="709"/>
        <w:contextualSpacing w:val="0"/>
        <w:jc w:val="right"/>
        <w:rPr>
          <w:rFonts w:eastAsia="Times New Roman" w:cs="Times New Roman"/>
          <w:sz w:val="16"/>
          <w:szCs w:val="20"/>
          <w:lang w:bidi="ar-SA"/>
        </w:rPr>
      </w:pPr>
      <w:r>
        <w:rPr>
          <w:rFonts w:eastAsia="Times New Roman" w:cs="Times New Roman"/>
          <w:sz w:val="16"/>
          <w:szCs w:val="20"/>
          <w:lang w:bidi="ar-SA"/>
        </w:rPr>
        <w:t>kwota w złotych</w:t>
      </w:r>
    </w:p>
    <w:tbl>
      <w:tblPr>
        <w:tblStyle w:val="TableNormal"/>
        <w:tblW w:w="0" w:type="auto"/>
        <w:jc w:val="right"/>
        <w:tblInd w:w="-1187" w:type="dxa"/>
        <w:tblLayout w:type="fixed"/>
        <w:tblCellMar>
          <w:left w:w="70" w:type="dxa"/>
          <w:right w:w="70" w:type="dxa"/>
        </w:tblCellMar>
        <w:tblLook w:val="04A0"/>
      </w:tblPr>
      <w:tblGrid>
        <w:gridCol w:w="4536"/>
        <w:gridCol w:w="709"/>
        <w:gridCol w:w="1842"/>
        <w:gridCol w:w="1843"/>
        <w:gridCol w:w="1448"/>
        <w:gridCol w:w="1449"/>
        <w:gridCol w:w="1448"/>
        <w:gridCol w:w="1449"/>
      </w:tblGrid>
      <w:tr>
        <w:tblPrEx>
          <w:tblW w:w="0" w:type="auto"/>
          <w:jc w:val="right"/>
          <w:tblInd w:w="-1187" w:type="dxa"/>
          <w:tblLayout w:type="fixed"/>
          <w:tblCellMar>
            <w:left w:w="70" w:type="dxa"/>
            <w:right w:w="70" w:type="dxa"/>
          </w:tblCellMar>
          <w:tblLook w:val="04A0"/>
        </w:tblPrEx>
        <w:trPr>
          <w:trHeight w:val="227"/>
          <w:jc w:val="right"/>
        </w:trPr>
        <w:tc>
          <w:tcPr>
            <w:tcW w:w="5245" w:type="dxa"/>
            <w:gridSpan w:val="2"/>
            <w:vMerge w:val="restart"/>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Założenia do WPF 2026-2046</w:t>
            </w:r>
          </w:p>
        </w:tc>
        <w:tc>
          <w:tcPr>
            <w:tcW w:w="3685" w:type="dxa"/>
            <w:gridSpan w:val="2"/>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2025</w:t>
            </w:r>
          </w:p>
        </w:tc>
        <w:tc>
          <w:tcPr>
            <w:tcW w:w="1448" w:type="dxa"/>
            <w:vMerge w:val="restart"/>
            <w:tcBorders>
              <w:top w:val="single" w:sz="4" w:space="0" w:color="auto"/>
              <w:left w:val="single" w:sz="4" w:space="0" w:color="auto"/>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2026</w:t>
            </w:r>
          </w:p>
        </w:tc>
        <w:tc>
          <w:tcPr>
            <w:tcW w:w="1449" w:type="dxa"/>
            <w:vMerge w:val="restart"/>
            <w:tcBorders>
              <w:top w:val="single" w:sz="4" w:space="0" w:color="auto"/>
              <w:left w:val="single" w:sz="4" w:space="0" w:color="auto"/>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2027</w:t>
            </w:r>
          </w:p>
        </w:tc>
        <w:tc>
          <w:tcPr>
            <w:tcW w:w="1448" w:type="dxa"/>
            <w:vMerge w:val="restart"/>
            <w:tcBorders>
              <w:top w:val="single" w:sz="4" w:space="0" w:color="auto"/>
              <w:left w:val="single" w:sz="4" w:space="0" w:color="auto"/>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2028</w:t>
            </w:r>
          </w:p>
        </w:tc>
        <w:tc>
          <w:tcPr>
            <w:tcW w:w="1449" w:type="dxa"/>
            <w:vMerge w:val="restart"/>
            <w:tcBorders>
              <w:top w:val="single" w:sz="4" w:space="0" w:color="auto"/>
              <w:left w:val="single" w:sz="4" w:space="0" w:color="auto"/>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2029</w:t>
            </w:r>
          </w:p>
        </w:tc>
      </w:tr>
      <w:tr>
        <w:tblPrEx>
          <w:tblW w:w="0" w:type="auto"/>
          <w:jc w:val="right"/>
          <w:tblInd w:w="-1187" w:type="dxa"/>
          <w:tblLayout w:type="fixed"/>
          <w:tblCellMar>
            <w:left w:w="70" w:type="dxa"/>
            <w:right w:w="70" w:type="dxa"/>
          </w:tblCellMar>
          <w:tblLook w:val="04A0"/>
        </w:tblPrEx>
        <w:trPr>
          <w:trHeight w:val="227"/>
          <w:jc w:val="right"/>
        </w:trPr>
        <w:tc>
          <w:tcPr>
            <w:tcW w:w="5245" w:type="dxa"/>
            <w:gridSpan w:val="2"/>
            <w:vMerge/>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p>
        </w:tc>
        <w:tc>
          <w:tcPr>
            <w:tcW w:w="1842" w:type="dxa"/>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plan pierwotny na 01.01.2025</w:t>
            </w:r>
          </w:p>
        </w:tc>
        <w:tc>
          <w:tcPr>
            <w:tcW w:w="1843" w:type="dxa"/>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plan po zmianach na 30.09.2025</w:t>
            </w:r>
          </w:p>
        </w:tc>
        <w:tc>
          <w:tcPr>
            <w:tcW w:w="1448" w:type="dxa"/>
            <w:vMerge/>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p>
        </w:tc>
        <w:tc>
          <w:tcPr>
            <w:tcW w:w="1449" w:type="dxa"/>
            <w:vMerge/>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p>
        </w:tc>
        <w:tc>
          <w:tcPr>
            <w:tcW w:w="1448" w:type="dxa"/>
            <w:vMerge/>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p>
        </w:tc>
        <w:tc>
          <w:tcPr>
            <w:tcW w:w="1449" w:type="dxa"/>
            <w:vMerge/>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p>
        </w:tc>
      </w:tr>
      <w:tr>
        <w:tblPrEx>
          <w:tblW w:w="0" w:type="auto"/>
          <w:jc w:val="right"/>
          <w:tblInd w:w="-1187" w:type="dxa"/>
          <w:tblLayout w:type="fixed"/>
          <w:tblCellMar>
            <w:left w:w="70" w:type="dxa"/>
            <w:right w:w="70" w:type="dxa"/>
          </w:tblCellMar>
          <w:tblLook w:val="04A0"/>
        </w:tblPrEx>
        <w:trPr>
          <w:trHeight w:val="227"/>
          <w:jc w:val="right"/>
        </w:trPr>
        <w:tc>
          <w:tcPr>
            <w:tcW w:w="5245" w:type="dxa"/>
            <w:gridSpan w:val="2"/>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Wydatki ogółem</w:t>
            </w:r>
          </w:p>
        </w:tc>
        <w:tc>
          <w:tcPr>
            <w:tcW w:w="1842"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1 356 648 697</w:t>
            </w:r>
          </w:p>
        </w:tc>
        <w:tc>
          <w:tcPr>
            <w:tcW w:w="1843"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1 518 839 882</w:t>
            </w:r>
          </w:p>
        </w:tc>
        <w:tc>
          <w:tcPr>
            <w:tcW w:w="1448"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1 445 576 397</w:t>
            </w:r>
          </w:p>
        </w:tc>
        <w:tc>
          <w:tcPr>
            <w:tcW w:w="1449"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1 445 235 654</w:t>
            </w:r>
          </w:p>
        </w:tc>
        <w:tc>
          <w:tcPr>
            <w:tcW w:w="1448"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1 513 764 480</w:t>
            </w:r>
          </w:p>
        </w:tc>
        <w:tc>
          <w:tcPr>
            <w:tcW w:w="1449"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1 569 540 609</w:t>
            </w:r>
          </w:p>
        </w:tc>
      </w:tr>
      <w:tr>
        <w:tblPrEx>
          <w:tblW w:w="0" w:type="auto"/>
          <w:jc w:val="right"/>
          <w:tblInd w:w="-1187" w:type="dxa"/>
          <w:tblLayout w:type="fixed"/>
          <w:tblCellMar>
            <w:left w:w="70" w:type="dxa"/>
            <w:right w:w="70" w:type="dxa"/>
          </w:tblCellMar>
          <w:tblLook w:val="04A0"/>
        </w:tblPrEx>
        <w:trPr>
          <w:trHeight w:val="227"/>
          <w:jc w:val="right"/>
        </w:trPr>
        <w:tc>
          <w:tcPr>
            <w:tcW w:w="5245" w:type="dxa"/>
            <w:gridSpan w:val="2"/>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Wydatki bieżące</w:t>
            </w:r>
          </w:p>
        </w:tc>
        <w:tc>
          <w:tcPr>
            <w:tcW w:w="1842"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1 168 642 664</w:t>
            </w:r>
          </w:p>
        </w:tc>
        <w:tc>
          <w:tcPr>
            <w:tcW w:w="1843"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1 296 005 848</w:t>
            </w:r>
          </w:p>
        </w:tc>
        <w:tc>
          <w:tcPr>
            <w:tcW w:w="1448"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1 286 743 196</w:t>
            </w:r>
          </w:p>
        </w:tc>
        <w:tc>
          <w:tcPr>
            <w:tcW w:w="1449"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1 338 608 259</w:t>
            </w:r>
          </w:p>
        </w:tc>
        <w:tc>
          <w:tcPr>
            <w:tcW w:w="1448"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1 397 060 557</w:t>
            </w:r>
          </w:p>
        </w:tc>
        <w:tc>
          <w:tcPr>
            <w:tcW w:w="1449"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1 456 409 105</w:t>
            </w:r>
          </w:p>
        </w:tc>
      </w:tr>
      <w:tr>
        <w:tblPrEx>
          <w:tblW w:w="0" w:type="auto"/>
          <w:jc w:val="right"/>
          <w:tblInd w:w="-1187" w:type="dxa"/>
          <w:tblLayout w:type="fixed"/>
          <w:tblCellMar>
            <w:left w:w="70" w:type="dxa"/>
            <w:right w:w="70" w:type="dxa"/>
          </w:tblCellMar>
          <w:tblLook w:val="04A0"/>
        </w:tblPrEx>
        <w:trPr>
          <w:trHeight w:val="227"/>
          <w:jc w:val="right"/>
        </w:trPr>
        <w:tc>
          <w:tcPr>
            <w:tcW w:w="5245" w:type="dxa"/>
            <w:gridSpan w:val="2"/>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Wydatki dotyczące wynagrodzeń i ich pochodnych</w:t>
            </w:r>
          </w:p>
        </w:tc>
        <w:tc>
          <w:tcPr>
            <w:tcW w:w="1842"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559 838 327</w:t>
            </w:r>
          </w:p>
        </w:tc>
        <w:tc>
          <w:tcPr>
            <w:tcW w:w="1843"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638 694 821</w:t>
            </w:r>
          </w:p>
        </w:tc>
        <w:tc>
          <w:tcPr>
            <w:tcW w:w="1448"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638 912 871</w:t>
            </w:r>
          </w:p>
        </w:tc>
        <w:tc>
          <w:tcPr>
            <w:tcW w:w="1449"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675 326 807</w:t>
            </w:r>
          </w:p>
        </w:tc>
        <w:tc>
          <w:tcPr>
            <w:tcW w:w="1448"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717 197 069</w:t>
            </w:r>
          </w:p>
        </w:tc>
        <w:tc>
          <w:tcPr>
            <w:tcW w:w="1449"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760 228 893</w:t>
            </w:r>
          </w:p>
        </w:tc>
      </w:tr>
      <w:tr>
        <w:tblPrEx>
          <w:tblW w:w="0" w:type="auto"/>
          <w:jc w:val="right"/>
          <w:tblInd w:w="-1187" w:type="dxa"/>
          <w:tblLayout w:type="fixed"/>
          <w:tblCellMar>
            <w:left w:w="70" w:type="dxa"/>
            <w:right w:w="70" w:type="dxa"/>
          </w:tblCellMar>
          <w:tblLook w:val="04A0"/>
        </w:tblPrEx>
        <w:trPr>
          <w:trHeight w:val="227"/>
          <w:jc w:val="right"/>
        </w:trPr>
        <w:tc>
          <w:tcPr>
            <w:tcW w:w="5245" w:type="dxa"/>
            <w:gridSpan w:val="2"/>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Wzrost wynagrodzeń - wytyczne MF</w:t>
            </w:r>
          </w:p>
        </w:tc>
        <w:tc>
          <w:tcPr>
            <w:tcW w:w="1842"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1843"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1448"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6,4%</w:t>
            </w:r>
          </w:p>
        </w:tc>
        <w:tc>
          <w:tcPr>
            <w:tcW w:w="1449"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6,2%</w:t>
            </w:r>
          </w:p>
        </w:tc>
        <w:tc>
          <w:tcPr>
            <w:tcW w:w="1448"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6,2%</w:t>
            </w:r>
          </w:p>
        </w:tc>
        <w:tc>
          <w:tcPr>
            <w:tcW w:w="1449"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6,0%</w:t>
            </w:r>
          </w:p>
        </w:tc>
      </w:tr>
      <w:tr>
        <w:tblPrEx>
          <w:tblW w:w="0" w:type="auto"/>
          <w:jc w:val="right"/>
          <w:tblInd w:w="-1187" w:type="dxa"/>
          <w:tblLayout w:type="fixed"/>
          <w:tblCellMar>
            <w:left w:w="70" w:type="dxa"/>
            <w:right w:w="70" w:type="dxa"/>
          </w:tblCellMar>
          <w:tblLook w:val="04A0"/>
        </w:tblPrEx>
        <w:trPr>
          <w:trHeight w:val="227"/>
          <w:jc w:val="right"/>
        </w:trPr>
        <w:tc>
          <w:tcPr>
            <w:tcW w:w="4536" w:type="dxa"/>
            <w:vMerge w:val="restart"/>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zmiana wydatków bieżących względem planu na 30.09.2025</w:t>
            </w:r>
          </w:p>
        </w:tc>
        <w:tc>
          <w:tcPr>
            <w:tcW w:w="709" w:type="dxa"/>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w:t>
            </w:r>
          </w:p>
        </w:tc>
        <w:tc>
          <w:tcPr>
            <w:tcW w:w="1842"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1843"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1448"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w:t>
            </w:r>
            <w:r>
              <w:rPr>
                <w:rFonts w:eastAsia="Times New Roman" w:cs="Times New Roman"/>
                <w:sz w:val="16"/>
                <w:szCs w:val="20"/>
              </w:rPr>
              <w:t>0,72</w:t>
            </w:r>
            <w:r>
              <w:rPr>
                <w:rFonts w:eastAsia="Times New Roman" w:cs="Times New Roman"/>
                <w:sz w:val="16"/>
                <w:szCs w:val="20"/>
                <w:lang w:bidi="ar-SA"/>
              </w:rPr>
              <w:t>%</w:t>
            </w:r>
          </w:p>
        </w:tc>
        <w:tc>
          <w:tcPr>
            <w:tcW w:w="1449"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1448"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1449"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r>
      <w:tr>
        <w:tblPrEx>
          <w:tblW w:w="0" w:type="auto"/>
          <w:jc w:val="right"/>
          <w:tblInd w:w="-1187" w:type="dxa"/>
          <w:tblLayout w:type="fixed"/>
          <w:tblCellMar>
            <w:left w:w="70" w:type="dxa"/>
            <w:right w:w="70" w:type="dxa"/>
          </w:tblCellMar>
          <w:tblLook w:val="04A0"/>
        </w:tblPrEx>
        <w:trPr>
          <w:trHeight w:val="227"/>
          <w:jc w:val="right"/>
        </w:trPr>
        <w:tc>
          <w:tcPr>
            <w:tcW w:w="4536" w:type="dxa"/>
            <w:vMerge/>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p>
        </w:tc>
        <w:tc>
          <w:tcPr>
            <w:tcW w:w="709" w:type="dxa"/>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kwota</w:t>
            </w:r>
          </w:p>
        </w:tc>
        <w:tc>
          <w:tcPr>
            <w:tcW w:w="1842"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1843"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1448"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-9 262 652</w:t>
            </w:r>
          </w:p>
        </w:tc>
        <w:tc>
          <w:tcPr>
            <w:tcW w:w="1449"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1448"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1449"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r>
      <w:tr>
        <w:tblPrEx>
          <w:tblW w:w="0" w:type="auto"/>
          <w:jc w:val="right"/>
          <w:tblInd w:w="-1187" w:type="dxa"/>
          <w:tblLayout w:type="fixed"/>
          <w:tblCellMar>
            <w:left w:w="70" w:type="dxa"/>
            <w:right w:w="70" w:type="dxa"/>
          </w:tblCellMar>
          <w:tblLook w:val="04A0"/>
        </w:tblPrEx>
        <w:trPr>
          <w:trHeight w:val="227"/>
          <w:jc w:val="right"/>
        </w:trPr>
        <w:tc>
          <w:tcPr>
            <w:tcW w:w="4536" w:type="dxa"/>
            <w:vMerge w:val="restart"/>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zmiana wydatków bieżących względem planu pierwotnego na 01.01.2025</w:t>
            </w:r>
          </w:p>
        </w:tc>
        <w:tc>
          <w:tcPr>
            <w:tcW w:w="709" w:type="dxa"/>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w:t>
            </w:r>
          </w:p>
        </w:tc>
        <w:tc>
          <w:tcPr>
            <w:tcW w:w="1842"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1843"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1448"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9,</w:t>
            </w:r>
            <w:r>
              <w:rPr>
                <w:rFonts w:eastAsia="Times New Roman" w:cs="Times New Roman"/>
                <w:sz w:val="16"/>
                <w:szCs w:val="20"/>
              </w:rPr>
              <w:t>18</w:t>
            </w:r>
            <w:r>
              <w:rPr>
                <w:rFonts w:eastAsia="Times New Roman" w:cs="Times New Roman"/>
                <w:sz w:val="16"/>
                <w:szCs w:val="20"/>
                <w:lang w:bidi="ar-SA"/>
              </w:rPr>
              <w:t>%</w:t>
            </w:r>
          </w:p>
        </w:tc>
        <w:tc>
          <w:tcPr>
            <w:tcW w:w="1449"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1448"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1449"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r>
      <w:tr>
        <w:tblPrEx>
          <w:tblW w:w="0" w:type="auto"/>
          <w:jc w:val="right"/>
          <w:tblInd w:w="-1187" w:type="dxa"/>
          <w:tblLayout w:type="fixed"/>
          <w:tblCellMar>
            <w:left w:w="70" w:type="dxa"/>
            <w:right w:w="70" w:type="dxa"/>
          </w:tblCellMar>
          <w:tblLook w:val="04A0"/>
        </w:tblPrEx>
        <w:trPr>
          <w:trHeight w:val="227"/>
          <w:jc w:val="right"/>
        </w:trPr>
        <w:tc>
          <w:tcPr>
            <w:tcW w:w="4536" w:type="dxa"/>
            <w:vMerge/>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p>
        </w:tc>
        <w:tc>
          <w:tcPr>
            <w:tcW w:w="709" w:type="dxa"/>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kwota</w:t>
            </w:r>
          </w:p>
        </w:tc>
        <w:tc>
          <w:tcPr>
            <w:tcW w:w="1842"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1843"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1448"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118 100 532</w:t>
            </w:r>
          </w:p>
        </w:tc>
        <w:tc>
          <w:tcPr>
            <w:tcW w:w="1449"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 </w:t>
            </w:r>
          </w:p>
        </w:tc>
        <w:tc>
          <w:tcPr>
            <w:tcW w:w="1448"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 </w:t>
            </w:r>
          </w:p>
        </w:tc>
        <w:tc>
          <w:tcPr>
            <w:tcW w:w="1449"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 </w:t>
            </w:r>
          </w:p>
        </w:tc>
      </w:tr>
      <w:tr>
        <w:tblPrEx>
          <w:tblW w:w="0" w:type="auto"/>
          <w:jc w:val="right"/>
          <w:tblInd w:w="-1187" w:type="dxa"/>
          <w:tblLayout w:type="fixed"/>
          <w:tblCellMar>
            <w:left w:w="70" w:type="dxa"/>
            <w:right w:w="70" w:type="dxa"/>
          </w:tblCellMar>
          <w:tblLook w:val="04A0"/>
        </w:tblPrEx>
        <w:trPr>
          <w:trHeight w:val="227"/>
          <w:jc w:val="right"/>
        </w:trPr>
        <w:tc>
          <w:tcPr>
            <w:tcW w:w="5245" w:type="dxa"/>
            <w:gridSpan w:val="2"/>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CPI – wytyczne MF</w:t>
            </w:r>
          </w:p>
        </w:tc>
        <w:tc>
          <w:tcPr>
            <w:tcW w:w="1842"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1843"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w:t>
            </w:r>
          </w:p>
        </w:tc>
        <w:tc>
          <w:tcPr>
            <w:tcW w:w="1448"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3,0%</w:t>
            </w:r>
          </w:p>
        </w:tc>
        <w:tc>
          <w:tcPr>
            <w:tcW w:w="1449"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2,6%</w:t>
            </w:r>
          </w:p>
        </w:tc>
        <w:tc>
          <w:tcPr>
            <w:tcW w:w="1448"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2,5%</w:t>
            </w:r>
          </w:p>
        </w:tc>
        <w:tc>
          <w:tcPr>
            <w:tcW w:w="1449"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2,4%</w:t>
            </w:r>
          </w:p>
        </w:tc>
      </w:tr>
      <w:tr>
        <w:tblPrEx>
          <w:tblW w:w="0" w:type="auto"/>
          <w:jc w:val="right"/>
          <w:tblInd w:w="-1187" w:type="dxa"/>
          <w:tblLayout w:type="fixed"/>
          <w:tblCellMar>
            <w:left w:w="70" w:type="dxa"/>
            <w:right w:w="70" w:type="dxa"/>
          </w:tblCellMar>
          <w:tblLook w:val="04A0"/>
        </w:tblPrEx>
        <w:trPr>
          <w:trHeight w:val="227"/>
          <w:jc w:val="right"/>
        </w:trPr>
        <w:tc>
          <w:tcPr>
            <w:tcW w:w="5245" w:type="dxa"/>
            <w:gridSpan w:val="2"/>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Wydatki majątkowe</w:t>
            </w:r>
          </w:p>
        </w:tc>
        <w:tc>
          <w:tcPr>
            <w:tcW w:w="1842"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188 006 033</w:t>
            </w:r>
          </w:p>
        </w:tc>
        <w:tc>
          <w:tcPr>
            <w:tcW w:w="1843"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222 834 034</w:t>
            </w:r>
          </w:p>
        </w:tc>
        <w:tc>
          <w:tcPr>
            <w:tcW w:w="1448"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158 833 201</w:t>
            </w:r>
          </w:p>
        </w:tc>
        <w:tc>
          <w:tcPr>
            <w:tcW w:w="1449"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106 627 395</w:t>
            </w:r>
          </w:p>
        </w:tc>
        <w:tc>
          <w:tcPr>
            <w:tcW w:w="1448"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116 703 923</w:t>
            </w:r>
          </w:p>
        </w:tc>
        <w:tc>
          <w:tcPr>
            <w:tcW w:w="1449"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113 131 504</w:t>
            </w:r>
          </w:p>
        </w:tc>
      </w:tr>
    </w:tbl>
    <w:p>
      <w:pPr>
        <w:keepNext w:val="0"/>
        <w:keepLines w:val="0"/>
        <w:widowControl/>
        <w:suppressLineNumbers w:val="0"/>
        <w:shd w:val="clear" w:color="auto" w:fill="au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val="0"/>
        <w:spacing w:before="24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Na rok 2026 założono wzrosty zgodnie ze złożonymi przez dysponentów środków budżetowych planami w zakresie przekazanych dysponentom limitów wydatków, a szczegóły zmian na rok 2026 opisano w pkt 2.1. niniejszego opracowania.</w:t>
      </w:r>
    </w:p>
    <w:p>
      <w:pPr>
        <w:keepNext w:val="0"/>
        <w:keepLines w:val="0"/>
        <w:widowControl/>
        <w:suppressLineNumbers w:val="0"/>
        <w:shd w:val="clear" w:color="auto" w:fill="au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val="0"/>
        <w:spacing w:before="0" w:beforeAutospacing="0" w:after="12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W latach 2027-2029 uwzględniono następujące zmiany w zakresie wydatków miasta:</w:t>
      </w:r>
    </w:p>
    <w:p>
      <w:pPr>
        <w:keepNext w:val="0"/>
        <w:keepLines w:val="0"/>
        <w:widowControl/>
        <w:numPr>
          <w:ilvl w:val="1"/>
          <w:numId w:val="5"/>
        </w:numPr>
        <w:suppressLineNumbers w:val="0"/>
        <w:shd w:val="clear" w:color="auto" w:fill="auto"/>
        <w:tabs>
          <w:tab w:val="clear" w:pos="1440"/>
        </w:tabs>
        <w:suppressAutoHyphens w:val="0"/>
        <w:spacing w:before="0" w:beforeAutospacing="0" w:after="120" w:afterAutospacing="0" w:line="240" w:lineRule="auto"/>
        <w:ind w:left="340" w:right="0" w:hanging="340"/>
        <w:contextualSpacing w:val="0"/>
        <w:jc w:val="both"/>
        <w:rPr>
          <w:rFonts w:eastAsia="Times New Roman" w:cs="Times New Roman"/>
          <w:szCs w:val="20"/>
          <w:lang w:bidi="ar-SA"/>
        </w:rPr>
      </w:pPr>
      <w:r>
        <w:rPr>
          <w:rFonts w:eastAsia="Times New Roman" w:cs="Times New Roman"/>
          <w:szCs w:val="20"/>
          <w:lang w:bidi="ar-SA"/>
        </w:rPr>
        <w:t>wydatki bieżące z tytułu wynagrodzeń – o wskaźnik wzrostu wynagrodzeń wynikający z wytycznych MF dotyczących stosowania jednolitych wskaźników makroekonomicznych będących podstawą oszacowania skutków finansowych projektowanych ustaw z dnia 17 lipca 2025 r.,</w:t>
      </w:r>
    </w:p>
    <w:p>
      <w:pPr>
        <w:keepNext w:val="0"/>
        <w:keepLines w:val="0"/>
        <w:widowControl/>
        <w:numPr>
          <w:ilvl w:val="1"/>
          <w:numId w:val="5"/>
        </w:numPr>
        <w:suppressLineNumbers w:val="0"/>
        <w:shd w:val="clear" w:color="auto" w:fill="auto"/>
        <w:tabs>
          <w:tab w:val="clear" w:pos="1440"/>
        </w:tabs>
        <w:suppressAutoHyphens w:val="0"/>
        <w:spacing w:before="0" w:beforeAutospacing="0" w:after="120" w:afterAutospacing="0" w:line="240" w:lineRule="auto"/>
        <w:ind w:left="340" w:right="0" w:hanging="340"/>
        <w:contextualSpacing w:val="0"/>
        <w:jc w:val="both"/>
        <w:rPr>
          <w:rFonts w:eastAsia="Times New Roman" w:cs="Times New Roman"/>
          <w:szCs w:val="20"/>
          <w:lang w:bidi="ar-SA"/>
        </w:rPr>
      </w:pPr>
      <w:r>
        <w:rPr>
          <w:rFonts w:eastAsia="Times New Roman" w:cs="Times New Roman"/>
          <w:szCs w:val="20"/>
          <w:lang w:bidi="ar-SA"/>
        </w:rPr>
        <w:t>pozostałe wydatki bieżące o wskaźnik CPI,</w:t>
      </w:r>
    </w:p>
    <w:p>
      <w:pPr>
        <w:keepNext w:val="0"/>
        <w:keepLines w:val="0"/>
        <w:widowControl/>
        <w:numPr>
          <w:ilvl w:val="1"/>
          <w:numId w:val="5"/>
        </w:numPr>
        <w:suppressLineNumbers w:val="0"/>
        <w:shd w:val="clear" w:color="auto" w:fill="auto"/>
        <w:tabs>
          <w:tab w:val="clear" w:pos="1440"/>
        </w:tabs>
        <w:suppressAutoHyphens w:val="0"/>
        <w:spacing w:before="0" w:beforeAutospacing="0" w:after="240" w:afterAutospacing="0" w:line="240" w:lineRule="auto"/>
        <w:ind w:left="340" w:right="0" w:hanging="340"/>
        <w:contextualSpacing w:val="0"/>
        <w:jc w:val="both"/>
        <w:rPr>
          <w:rFonts w:eastAsia="Times New Roman" w:cs="Times New Roman"/>
          <w:szCs w:val="20"/>
          <w:lang w:bidi="ar-SA"/>
        </w:rPr>
      </w:pPr>
      <w:r>
        <w:rPr>
          <w:rFonts w:eastAsia="Times New Roman" w:cs="Times New Roman"/>
          <w:szCs w:val="20"/>
          <w:lang w:bidi="ar-SA"/>
        </w:rPr>
        <w:t>wydatki majątkowe zgodnie z zawartymi umowami wieloletnimi oraz planowanymi do realizacji w tym zakresie wydatkami majątkowymi.</w:t>
      </w:r>
    </w:p>
    <w:p>
      <w:pPr>
        <w:keepNext w:val="0"/>
        <w:keepLines w:val="0"/>
        <w:widowControl/>
        <w:suppressLineNumbers w:val="0"/>
        <w:shd w:val="clear" w:color="auto" w:fill="au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Należy zauważyć, iż część środków dotacyjnych na wydatki zostanie przekazana miastu dopiero w trakcie roku i zaplanowana po otrzymaniu właściwych zawiadomień (dotyczy to m.in. dodatku motywacyjnego dla pracowników pomocy społecznej, zasiłków w zakresie pomocy społecznej itd.).</w:t>
      </w:r>
    </w:p>
    <w:p>
      <w:pPr>
        <w:keepNext w:val="0"/>
        <w:keepLines w:val="0"/>
        <w:widowControl/>
        <w:suppressLineNumbers w:val="0"/>
        <w:shd w:val="clear" w:color="auto" w:fill="au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val="0"/>
        <w:spacing w:before="0" w:beforeAutospacing="0" w:after="240" w:afterAutospacing="0" w:line="240" w:lineRule="auto"/>
        <w:ind w:left="0" w:right="0" w:firstLine="0"/>
        <w:contextualSpacing w:val="0"/>
        <w:jc w:val="both"/>
        <w:rPr>
          <w:rFonts w:eastAsia="Times New Roman" w:cs="Times New Roman"/>
          <w:b/>
          <w:szCs w:val="20"/>
          <w:lang w:bidi="ar-SA"/>
        </w:rPr>
      </w:pPr>
      <w:r>
        <w:rPr>
          <w:rFonts w:eastAsia="Times New Roman" w:cs="Times New Roman"/>
          <w:color w:val="808080"/>
          <w:szCs w:val="20"/>
          <w:lang w:bidi="ar-SA"/>
        </w:rPr>
        <w:br w:type="page"/>
      </w:r>
      <w:r>
        <w:rPr>
          <w:rFonts w:eastAsia="Times New Roman" w:cs="Times New Roman"/>
          <w:b/>
          <w:szCs w:val="20"/>
          <w:lang w:bidi="ar-SA"/>
        </w:rPr>
        <w:t>2.1. Wydatki bieżące</w:t>
      </w:r>
    </w:p>
    <w:p>
      <w:pPr>
        <w:keepNext w:val="0"/>
        <w:keepLines w:val="0"/>
        <w:widowControl/>
        <w:suppressLineNumbers w:val="0"/>
        <w:shd w:val="clear" w:color="auto" w:fill="auto"/>
        <w:tabs>
          <w:tab w:val="left" w:pos="0"/>
        </w:tabs>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 xml:space="preserve">Wydatki bieżące to wszystkie wydatki jednostki samorządu terytorialnego niebędące wydatkami majątkowymi, które zdefiniowano w punkcie 2.2. Z kategorii tej wyodrębniono na potrzeby prognozy wydatki z tytułu poręczeń i gwarancji, opisane w punkcie 2.1.2 i na obsługę długu, opisane w punkcie 2.1.3. </w:t>
      </w:r>
    </w:p>
    <w:p>
      <w:pPr>
        <w:keepNext w:val="0"/>
        <w:keepLines w:val="0"/>
        <w:widowControl/>
        <w:suppressLineNumbers w:val="0"/>
        <w:shd w:val="clear" w:color="auto" w:fill="auto"/>
        <w:tabs>
          <w:tab w:val="left" w:pos="0"/>
        </w:tabs>
        <w:suppressAutoHyphens w:val="0"/>
        <w:spacing w:before="120" w:beforeAutospacing="0" w:after="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Szacując wysokość wydatków bieżących w roku 2026 i w latach kolejnych uwzględniono:</w:t>
      </w:r>
    </w:p>
    <w:p>
      <w:pPr>
        <w:keepNext w:val="0"/>
        <w:keepLines w:val="0"/>
        <w:widowControl/>
        <w:numPr>
          <w:ilvl w:val="0"/>
          <w:numId w:val="7"/>
        </w:numPr>
        <w:suppressLineNumbers w:val="0"/>
        <w:shd w:val="clear" w:color="auto" w:fill="auto"/>
        <w:tabs>
          <w:tab w:val="clear" w:pos="1191"/>
        </w:tabs>
        <w:suppressAutoHyphens w:val="0"/>
        <w:spacing w:before="120" w:beforeAutospacing="0" w:after="0" w:afterAutospacing="0" w:line="240" w:lineRule="auto"/>
        <w:ind w:left="340" w:right="0" w:hanging="340"/>
        <w:contextualSpacing w:val="0"/>
        <w:jc w:val="both"/>
        <w:rPr>
          <w:rFonts w:eastAsia="Times New Roman" w:cs="Times New Roman"/>
          <w:szCs w:val="20"/>
          <w:lang w:bidi="ar-SA"/>
        </w:rPr>
      </w:pPr>
      <w:r>
        <w:rPr>
          <w:rFonts w:eastAsia="Times New Roman" w:cs="Times New Roman"/>
          <w:szCs w:val="20"/>
          <w:lang w:bidi="ar-SA"/>
        </w:rPr>
        <w:t xml:space="preserve">wzrost wydatków z tytułu wynagrodzeń o </w:t>
      </w:r>
      <w:r>
        <w:rPr>
          <w:rFonts w:eastAsia="Times New Roman" w:cs="Times New Roman"/>
          <w:szCs w:val="20"/>
        </w:rPr>
        <w:t>14,2</w:t>
      </w:r>
      <w:r>
        <w:rPr>
          <w:rFonts w:eastAsia="Times New Roman" w:cs="Times New Roman"/>
          <w:szCs w:val="20"/>
          <w:lang w:bidi="ar-SA"/>
        </w:rPr>
        <w:t>% w 2026 względem planu na dzień 1 stycznia 2025 r. oraz o wskaźnik wzrostu wynagrodzeń w latach 2027-2029, określony w wytycznych dotyczących stosowania jednolitych wskaźników makroekonomicznych będących podstawą oszacowania skutków finansowych projektowanych ustaw,</w:t>
      </w:r>
    </w:p>
    <w:p>
      <w:pPr>
        <w:keepNext w:val="0"/>
        <w:keepLines w:val="0"/>
        <w:widowControl/>
        <w:numPr>
          <w:ilvl w:val="0"/>
          <w:numId w:val="7"/>
        </w:numPr>
        <w:suppressLineNumbers w:val="0"/>
        <w:shd w:val="clear" w:color="auto" w:fill="auto"/>
        <w:tabs>
          <w:tab w:val="clear" w:pos="1191"/>
        </w:tabs>
        <w:suppressAutoHyphens w:val="0"/>
        <w:spacing w:before="120" w:beforeAutospacing="0" w:after="0" w:afterAutospacing="0" w:line="240" w:lineRule="auto"/>
        <w:ind w:left="340" w:right="0" w:hanging="340"/>
        <w:contextualSpacing w:val="0"/>
        <w:jc w:val="both"/>
        <w:rPr>
          <w:rFonts w:eastAsia="Times New Roman" w:cs="Times New Roman"/>
          <w:szCs w:val="20"/>
          <w:lang w:bidi="ar-SA"/>
        </w:rPr>
      </w:pPr>
      <w:r>
        <w:rPr>
          <w:rFonts w:eastAsia="Times New Roman" w:cs="Times New Roman"/>
          <w:szCs w:val="20"/>
          <w:lang w:bidi="ar-SA"/>
        </w:rPr>
        <w:t>racjonalizację wszystkich wydatków bieżących, w zakresie których decyzje podjęto już w 2025 r., o czym szczegółowo mowa poniżej,</w:t>
      </w:r>
    </w:p>
    <w:p>
      <w:pPr>
        <w:keepNext w:val="0"/>
        <w:keepLines w:val="0"/>
        <w:widowControl/>
        <w:numPr>
          <w:ilvl w:val="0"/>
          <w:numId w:val="7"/>
        </w:numPr>
        <w:suppressLineNumbers w:val="0"/>
        <w:shd w:val="clear" w:color="auto" w:fill="auto"/>
        <w:tabs>
          <w:tab w:val="clear" w:pos="1191"/>
        </w:tabs>
        <w:suppressAutoHyphens w:val="0"/>
        <w:spacing w:before="120" w:beforeAutospacing="0" w:after="0" w:afterAutospacing="0" w:line="240" w:lineRule="auto"/>
        <w:ind w:left="340" w:right="0" w:hanging="340"/>
        <w:contextualSpacing w:val="0"/>
        <w:jc w:val="both"/>
        <w:rPr>
          <w:rFonts w:eastAsia="Times New Roman" w:cs="Times New Roman"/>
          <w:szCs w:val="20"/>
          <w:lang w:bidi="ar-SA"/>
        </w:rPr>
      </w:pPr>
      <w:r>
        <w:rPr>
          <w:rFonts w:eastAsia="Times New Roman" w:cs="Times New Roman"/>
          <w:szCs w:val="20"/>
          <w:lang w:bidi="ar-SA"/>
        </w:rPr>
        <w:t>ograniczanie wydatków dotychczas przeznaczonych na zadania remontowe i promowanie działań o charakterze inwestycyjnym,</w:t>
      </w:r>
    </w:p>
    <w:p>
      <w:pPr>
        <w:keepNext w:val="0"/>
        <w:keepLines w:val="0"/>
        <w:widowControl/>
        <w:numPr>
          <w:ilvl w:val="0"/>
          <w:numId w:val="7"/>
        </w:numPr>
        <w:suppressLineNumbers w:val="0"/>
        <w:shd w:val="clear" w:color="auto" w:fill="auto"/>
        <w:tabs>
          <w:tab w:val="clear" w:pos="1191"/>
        </w:tabs>
        <w:suppressAutoHyphens w:val="0"/>
        <w:spacing w:before="120" w:beforeAutospacing="0" w:after="0" w:afterAutospacing="0" w:line="240" w:lineRule="auto"/>
        <w:ind w:left="340" w:right="0" w:hanging="340"/>
        <w:contextualSpacing w:val="0"/>
        <w:jc w:val="both"/>
        <w:rPr>
          <w:rFonts w:eastAsia="Times New Roman" w:cs="Times New Roman"/>
          <w:szCs w:val="20"/>
          <w:lang w:bidi="ar-SA"/>
        </w:rPr>
      </w:pPr>
      <w:r>
        <w:rPr>
          <w:rFonts w:eastAsia="Times New Roman" w:cs="Times New Roman"/>
          <w:szCs w:val="20"/>
          <w:lang w:bidi="ar-SA"/>
        </w:rPr>
        <w:t>zmniejszenie kosztów obsługi długu z uwagi na obniżenie zgodnie z wytycznymi MF stóp procentowych,</w:t>
      </w:r>
    </w:p>
    <w:p>
      <w:pPr>
        <w:keepNext w:val="0"/>
        <w:keepLines w:val="0"/>
        <w:widowControl/>
        <w:numPr>
          <w:ilvl w:val="0"/>
          <w:numId w:val="7"/>
        </w:numPr>
        <w:suppressLineNumbers w:val="0"/>
        <w:shd w:val="clear" w:color="auto" w:fill="auto"/>
        <w:tabs>
          <w:tab w:val="clear" w:pos="1191"/>
        </w:tabs>
        <w:suppressAutoHyphens w:val="0"/>
        <w:spacing w:before="120" w:beforeAutospacing="0" w:after="0" w:afterAutospacing="0" w:line="240" w:lineRule="auto"/>
        <w:ind w:left="340" w:right="0" w:hanging="340"/>
        <w:contextualSpacing w:val="0"/>
        <w:jc w:val="both"/>
        <w:rPr>
          <w:rFonts w:eastAsia="Times New Roman" w:cs="Times New Roman"/>
          <w:szCs w:val="20"/>
          <w:lang w:bidi="ar-SA"/>
        </w:rPr>
      </w:pPr>
      <w:r>
        <w:rPr>
          <w:rFonts w:eastAsia="Times New Roman" w:cs="Times New Roman"/>
          <w:szCs w:val="20"/>
          <w:lang w:bidi="ar-SA"/>
        </w:rPr>
        <w:t xml:space="preserve">oszczędność w łącznej wysokości 2 744 594 zł z uwagi na uzyskane w dniach 30 października i 4 listopada 2025 informacje o wyborze najkorzystniejszych ofert dotyczących wspólnych postępowań w zakresie zakupu prądu i gazu, </w:t>
      </w:r>
    </w:p>
    <w:p>
      <w:pPr>
        <w:keepNext w:val="0"/>
        <w:keepLines w:val="0"/>
        <w:widowControl/>
        <w:numPr>
          <w:ilvl w:val="0"/>
          <w:numId w:val="7"/>
        </w:numPr>
        <w:suppressLineNumbers w:val="0"/>
        <w:shd w:val="clear" w:color="auto" w:fill="auto"/>
        <w:tabs>
          <w:tab w:val="clear" w:pos="1191"/>
        </w:tabs>
        <w:suppressAutoHyphens w:val="0"/>
        <w:spacing w:before="120" w:beforeAutospacing="0" w:after="0" w:afterAutospacing="0" w:line="240" w:lineRule="auto"/>
        <w:ind w:left="340" w:right="0" w:hanging="340"/>
        <w:contextualSpacing w:val="0"/>
        <w:jc w:val="both"/>
        <w:rPr>
          <w:rFonts w:eastAsia="Times New Roman" w:cs="Times New Roman"/>
          <w:szCs w:val="20"/>
          <w:lang w:bidi="ar-SA"/>
        </w:rPr>
      </w:pPr>
      <w:r>
        <w:rPr>
          <w:rFonts w:eastAsia="Times New Roman" w:cs="Times New Roman"/>
          <w:szCs w:val="20"/>
          <w:lang w:bidi="ar-SA"/>
        </w:rPr>
        <w:t>wzrost pozostałych wydatków bieżących w latach 2027-2029 i wydatków ogółem od roku 2030 w oparciu o wskaźnik CPI podany przez MF w ww. wytycznych.</w:t>
      </w:r>
    </w:p>
    <w:p>
      <w:pPr>
        <w:keepNext w:val="0"/>
        <w:keepLines w:val="0"/>
        <w:widowControl/>
        <w:suppressLineNumbers w:val="0"/>
        <w:shd w:val="clear" w:color="auto" w:fill="auto"/>
        <w:suppressAutoHyphens w:val="0"/>
        <w:spacing w:before="12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 xml:space="preserve">Założono plan wydatków bieżących wyższy od planu pierwotnego na 1 stycznia 2025 r. o kwotę 118 100 532 zł. </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 xml:space="preserve">Materiały informacyjne do projektu budżetu na 2026 rok (tabela 4 i 5) wskazują porównanie wydatków wg działów w zestawieniu plan pierwotny na rok 2025, plan na 30 września i 31 października 2025 r. </w:t>
      </w:r>
    </w:p>
    <w:p>
      <w:pPr>
        <w:keepNext w:val="0"/>
        <w:keepLines w:val="0"/>
        <w:widowControl/>
        <w:suppressLineNumbers w:val="0"/>
        <w:shd w:val="clear" w:color="auto" w:fill="auto"/>
        <w:suppressAutoHyphens w:val="0"/>
        <w:spacing w:before="0" w:beforeAutospacing="0" w:after="12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Znaczące dla budżetu zmiany względem planu na dzień 31 października 2025 r. zachodzą w następujących działach:</w:t>
      </w:r>
    </w:p>
    <w:p>
      <w:pPr>
        <w:keepNext w:val="0"/>
        <w:keepLines w:val="0"/>
        <w:widowControl/>
        <w:numPr>
          <w:ilvl w:val="0"/>
          <w:numId w:val="3"/>
        </w:numPr>
        <w:suppressLineNumbers w:val="0"/>
        <w:shd w:val="clear" w:color="auto" w:fill="auto"/>
        <w:suppressAutoHyphens w:val="0"/>
        <w:spacing w:before="0" w:beforeAutospacing="0" w:after="120" w:afterAutospacing="0" w:line="240" w:lineRule="auto"/>
        <w:ind w:left="680" w:right="0" w:hanging="340"/>
        <w:contextualSpacing w:val="0"/>
        <w:jc w:val="both"/>
        <w:rPr>
          <w:rFonts w:eastAsia="Times New Roman" w:cs="Times New Roman"/>
          <w:szCs w:val="20"/>
          <w:lang w:bidi="ar-SA"/>
        </w:rPr>
      </w:pPr>
      <w:r>
        <w:rPr>
          <w:rFonts w:eastAsia="Times New Roman" w:cs="Times New Roman"/>
          <w:szCs w:val="20"/>
          <w:lang w:bidi="ar-SA"/>
        </w:rPr>
        <w:t xml:space="preserve">dział </w:t>
      </w:r>
      <w:r>
        <w:rPr>
          <w:rFonts w:eastAsia="Times New Roman" w:cs="Times New Roman"/>
          <w:i/>
          <w:szCs w:val="20"/>
          <w:lang w:bidi="ar-SA"/>
        </w:rPr>
        <w:t>600 – Transport i łączność</w:t>
      </w:r>
      <w:r>
        <w:rPr>
          <w:rFonts w:eastAsia="Times New Roman" w:cs="Times New Roman"/>
          <w:szCs w:val="20"/>
          <w:lang w:bidi="ar-SA"/>
        </w:rPr>
        <w:t>: różnica dotyczy kwoty składki związanej z transportem zbiorowym (płatnej do Górnośląsko-Zagłębiowskiej Metropolii). Kwota zaplanowana na rok 2026 obejmuje kwoty:</w:t>
      </w:r>
    </w:p>
    <w:p>
      <w:pPr>
        <w:keepNext w:val="0"/>
        <w:keepLines w:val="0"/>
        <w:widowControl/>
        <w:numPr>
          <w:ilvl w:val="1"/>
          <w:numId w:val="3"/>
        </w:numPr>
        <w:suppressLineNumbers w:val="0"/>
        <w:shd w:val="clear" w:color="auto" w:fill="auto"/>
        <w:suppressAutoHyphens w:val="0"/>
        <w:spacing w:before="0" w:beforeAutospacing="0" w:after="0" w:afterAutospacing="0" w:line="240" w:lineRule="auto"/>
        <w:ind w:left="1020" w:right="0" w:hanging="340"/>
        <w:contextualSpacing w:val="0"/>
        <w:jc w:val="both"/>
        <w:rPr>
          <w:rFonts w:eastAsia="Times New Roman" w:cs="Times New Roman"/>
          <w:szCs w:val="20"/>
          <w:lang w:bidi="ar-SA"/>
        </w:rPr>
      </w:pPr>
      <w:r>
        <w:rPr>
          <w:rFonts w:eastAsia="Times New Roman" w:cs="Times New Roman"/>
          <w:szCs w:val="20"/>
          <w:lang w:bidi="ar-SA"/>
        </w:rPr>
        <w:t>86 544 548 zł uchwalonej przez GZM składki zmiennej,</w:t>
      </w:r>
    </w:p>
    <w:p>
      <w:pPr>
        <w:keepNext w:val="0"/>
        <w:keepLines w:val="0"/>
        <w:widowControl/>
        <w:numPr>
          <w:ilvl w:val="1"/>
          <w:numId w:val="3"/>
        </w:numPr>
        <w:suppressLineNumbers w:val="0"/>
        <w:shd w:val="clear" w:color="auto" w:fill="auto"/>
        <w:suppressAutoHyphens w:val="0"/>
        <w:spacing w:before="0" w:beforeAutospacing="0" w:after="0" w:afterAutospacing="0" w:line="240" w:lineRule="auto"/>
        <w:ind w:left="1020" w:right="0" w:hanging="340"/>
        <w:contextualSpacing w:val="0"/>
        <w:jc w:val="both"/>
        <w:rPr>
          <w:rFonts w:eastAsia="Times New Roman" w:cs="Times New Roman"/>
          <w:szCs w:val="20"/>
          <w:lang w:bidi="ar-SA"/>
        </w:rPr>
      </w:pPr>
      <w:r>
        <w:rPr>
          <w:rFonts w:eastAsia="Times New Roman" w:cs="Times New Roman"/>
          <w:szCs w:val="20"/>
          <w:lang w:bidi="ar-SA"/>
        </w:rPr>
        <w:t>43 379 473 zł odroczonej do 30 czerwca 2026 r. decyzją GZM składki za rok 2025,</w:t>
      </w:r>
    </w:p>
    <w:p>
      <w:pPr>
        <w:keepNext w:val="0"/>
        <w:keepLines w:val="0"/>
        <w:widowControl/>
        <w:numPr>
          <w:ilvl w:val="1"/>
          <w:numId w:val="3"/>
        </w:numPr>
        <w:suppressLineNumbers w:val="0"/>
        <w:shd w:val="clear" w:color="auto" w:fill="auto"/>
        <w:suppressAutoHyphens w:val="0"/>
        <w:spacing w:before="0" w:beforeAutospacing="0" w:after="0" w:afterAutospacing="0" w:line="240" w:lineRule="auto"/>
        <w:ind w:left="1020" w:right="0" w:hanging="340"/>
        <w:contextualSpacing w:val="0"/>
        <w:jc w:val="both"/>
        <w:rPr>
          <w:rFonts w:eastAsia="Times New Roman" w:cs="Times New Roman"/>
          <w:szCs w:val="20"/>
          <w:lang w:bidi="ar-SA"/>
        </w:rPr>
      </w:pPr>
      <w:r>
        <w:rPr>
          <w:rFonts w:eastAsia="Times New Roman" w:cs="Times New Roman"/>
          <w:szCs w:val="20"/>
          <w:lang w:bidi="ar-SA"/>
        </w:rPr>
        <w:t>3 169 311 zł wynikającej z rozliczenia kosztów transportu za rok 2024, płatnej do 31 marca 2026 r.</w:t>
      </w:r>
    </w:p>
    <w:p>
      <w:pPr>
        <w:keepNext w:val="0"/>
        <w:keepLines w:val="0"/>
        <w:widowControl/>
        <w:suppressLineNumbers w:val="0"/>
        <w:shd w:val="clear" w:color="auto" w:fill="auto"/>
        <w:suppressAutoHyphens w:val="0"/>
        <w:spacing w:before="0" w:beforeAutospacing="0" w:after="0" w:afterAutospacing="0" w:line="240" w:lineRule="auto"/>
        <w:ind w:left="680" w:right="0" w:hanging="340"/>
        <w:contextualSpacing w:val="0"/>
        <w:jc w:val="both"/>
        <w:rPr>
          <w:rFonts w:eastAsia="Times New Roman" w:cs="Times New Roman"/>
          <w:szCs w:val="20"/>
          <w:lang w:bidi="ar-SA"/>
        </w:rPr>
      </w:pPr>
    </w:p>
    <w:p>
      <w:pPr>
        <w:keepNext w:val="0"/>
        <w:keepLines w:val="0"/>
        <w:widowControl/>
        <w:numPr>
          <w:ilvl w:val="0"/>
          <w:numId w:val="3"/>
        </w:numPr>
        <w:suppressLineNumbers w:val="0"/>
        <w:shd w:val="clear" w:color="auto" w:fill="auto"/>
        <w:suppressAutoHyphens w:val="0"/>
        <w:spacing w:before="0" w:beforeAutospacing="0" w:after="120" w:afterAutospacing="0" w:line="240" w:lineRule="auto"/>
        <w:ind w:left="680" w:right="0" w:hanging="340"/>
        <w:contextualSpacing w:val="0"/>
        <w:jc w:val="both"/>
        <w:rPr>
          <w:rFonts w:eastAsia="Times New Roman" w:cs="Times New Roman"/>
          <w:szCs w:val="20"/>
          <w:lang w:bidi="ar-SA"/>
        </w:rPr>
      </w:pPr>
      <w:r>
        <w:rPr>
          <w:rFonts w:eastAsia="Times New Roman" w:cs="Times New Roman"/>
          <w:i/>
          <w:szCs w:val="20"/>
          <w:lang w:bidi="ar-SA"/>
        </w:rPr>
        <w:t>dział 757 – Obsługa długu publicznego</w:t>
      </w:r>
      <w:r>
        <w:rPr>
          <w:rFonts w:eastAsia="Times New Roman" w:cs="Times New Roman"/>
          <w:szCs w:val="20"/>
          <w:lang w:bidi="ar-SA"/>
        </w:rPr>
        <w:t>: spadek planowanych wydatków z tytułu kosztów obsługi długu na rok 2026 w porównaniu do roku 2025 wynika z obniżenia stóp procentowych będących podstawą wyliczania przez banki kosztów odsetek (dotyczy odsetek od obligacji przypadających do zapłaty w I półroczu 2026 r. – zgodnie z dotychczas otrzymanymi zawiadomieniami banków o kwotach należnych do zapłaty), a także w związku z aktualizacją przez MF wskaźnika stopy procentowej (referencyjnej NBP) będącego podstawą do szacowania kosztów obsługi kredytów, pożyczek i obligacji w II półroczu 2026 r. Kwoty wyliczonych kosztów obsługi długu obejmują również związane z planowaną do zaciągnięcia w 2026 r. pożyczką;</w:t>
      </w:r>
    </w:p>
    <w:p>
      <w:pPr>
        <w:keepNext w:val="0"/>
        <w:keepLines w:val="0"/>
        <w:widowControl/>
        <w:numPr>
          <w:ilvl w:val="0"/>
          <w:numId w:val="3"/>
        </w:numPr>
        <w:suppressLineNumbers w:val="0"/>
        <w:shd w:val="clear" w:color="auto" w:fill="auto"/>
        <w:suppressAutoHyphens w:val="0"/>
        <w:spacing w:before="0" w:beforeAutospacing="0" w:after="120" w:afterAutospacing="0" w:line="240" w:lineRule="auto"/>
        <w:ind w:left="680" w:right="0" w:hanging="340"/>
        <w:contextualSpacing w:val="0"/>
        <w:jc w:val="both"/>
        <w:rPr>
          <w:rFonts w:eastAsia="Times New Roman" w:cs="Times New Roman"/>
          <w:szCs w:val="20"/>
          <w:lang w:bidi="ar-SA"/>
        </w:rPr>
      </w:pPr>
      <w:r>
        <w:rPr>
          <w:rFonts w:eastAsia="Times New Roman" w:cs="Times New Roman"/>
          <w:i/>
          <w:szCs w:val="20"/>
          <w:lang w:bidi="ar-SA"/>
        </w:rPr>
        <w:t>dział 801 – Oświata i wychowanie</w:t>
      </w:r>
      <w:r>
        <w:rPr>
          <w:rFonts w:eastAsia="Times New Roman" w:cs="Times New Roman"/>
          <w:szCs w:val="20"/>
          <w:lang w:bidi="ar-SA"/>
        </w:rPr>
        <w:t xml:space="preserve">: zmiany wynikają z działań już podjętych, opisanych szczegółowo w pozycji dotyczącej wydatków związanych z wynagrodzeniami, planowanymi oszczędnościami w związku z korzystniejszym rozstrzygnięciem postępowań związanych z zakupem energii, a także kwotą odpraw, którą zabezpieczono w pozycji dotyczącej rezerw w dziale </w:t>
      </w:r>
      <w:r>
        <w:rPr>
          <w:rFonts w:eastAsia="Times New Roman" w:cs="Times New Roman"/>
          <w:i/>
          <w:szCs w:val="20"/>
          <w:lang w:bidi="ar-SA"/>
        </w:rPr>
        <w:t>758 – Różne rozliczenia</w:t>
      </w:r>
      <w:r>
        <w:rPr>
          <w:rFonts w:eastAsia="Times New Roman" w:cs="Times New Roman"/>
          <w:szCs w:val="20"/>
          <w:lang w:bidi="ar-SA"/>
        </w:rPr>
        <w:t xml:space="preserve"> oraz zakończeniem realizacji w 2025 r. projektów współfinansowanych środkami europejskimi przez bytomskie szkoły średnie;</w:t>
      </w:r>
    </w:p>
    <w:p>
      <w:pPr>
        <w:keepNext w:val="0"/>
        <w:keepLines w:val="0"/>
        <w:widowControl/>
        <w:numPr>
          <w:ilvl w:val="0"/>
          <w:numId w:val="3"/>
        </w:numPr>
        <w:suppressLineNumbers w:val="0"/>
        <w:shd w:val="clear" w:color="auto" w:fill="auto"/>
        <w:suppressAutoHyphens w:val="0"/>
        <w:spacing w:before="0" w:beforeAutospacing="0" w:after="120" w:afterAutospacing="0" w:line="240" w:lineRule="auto"/>
        <w:ind w:left="680" w:right="0" w:hanging="340"/>
        <w:contextualSpacing w:val="0"/>
        <w:jc w:val="both"/>
        <w:rPr>
          <w:rFonts w:eastAsia="Times New Roman" w:cs="Times New Roman"/>
          <w:szCs w:val="20"/>
          <w:lang w:bidi="ar-SA"/>
        </w:rPr>
      </w:pPr>
      <w:r>
        <w:rPr>
          <w:rFonts w:eastAsia="Times New Roman" w:cs="Times New Roman"/>
          <w:i/>
          <w:szCs w:val="20"/>
          <w:lang w:bidi="ar-SA"/>
        </w:rPr>
        <w:t>działy 852 – Pomoc społeczna</w:t>
      </w:r>
      <w:r>
        <w:rPr>
          <w:rFonts w:eastAsia="Times New Roman" w:cs="Times New Roman"/>
          <w:szCs w:val="20"/>
          <w:lang w:bidi="ar-SA"/>
        </w:rPr>
        <w:t xml:space="preserve"> i </w:t>
      </w:r>
      <w:r>
        <w:rPr>
          <w:rFonts w:eastAsia="Times New Roman" w:cs="Times New Roman"/>
          <w:i/>
          <w:szCs w:val="20"/>
          <w:lang w:bidi="ar-SA"/>
        </w:rPr>
        <w:t>855 – Rodzina</w:t>
      </w:r>
      <w:r>
        <w:rPr>
          <w:rFonts w:eastAsia="Times New Roman" w:cs="Times New Roman"/>
          <w:szCs w:val="20"/>
          <w:lang w:bidi="ar-SA"/>
        </w:rPr>
        <w:t>: spadek wydatków w 2026 r. spowodowany przyznaniem przez Wojewodę Śląskiego w trakcie 2025 r. środków w formie dotacji na realizację zadań z zakresu pomocy społecznej, które nie są zabezpieczone na etapie pierwotnego planu,</w:t>
      </w:r>
    </w:p>
    <w:p>
      <w:pPr>
        <w:keepNext w:val="0"/>
        <w:keepLines w:val="0"/>
        <w:widowControl/>
        <w:numPr>
          <w:ilvl w:val="0"/>
          <w:numId w:val="3"/>
        </w:numPr>
        <w:suppressLineNumbers w:val="0"/>
        <w:shd w:val="clear" w:color="auto" w:fill="auto"/>
        <w:suppressAutoHyphens w:val="0"/>
        <w:spacing w:before="0" w:beforeAutospacing="0" w:after="240" w:afterAutospacing="0" w:line="240" w:lineRule="auto"/>
        <w:ind w:left="680" w:right="0" w:hanging="340"/>
        <w:contextualSpacing w:val="0"/>
        <w:jc w:val="both"/>
        <w:rPr>
          <w:rFonts w:eastAsia="Times New Roman" w:cs="Times New Roman"/>
          <w:szCs w:val="20"/>
          <w:lang w:bidi="ar-SA"/>
        </w:rPr>
      </w:pPr>
      <w:r>
        <w:rPr>
          <w:rFonts w:eastAsia="Times New Roman" w:cs="Times New Roman"/>
          <w:i/>
          <w:szCs w:val="20"/>
          <w:lang w:bidi="ar-SA"/>
        </w:rPr>
        <w:t>dział 926 – Kultura fizyczna</w:t>
      </w:r>
      <w:r>
        <w:rPr>
          <w:rFonts w:eastAsia="Times New Roman" w:cs="Times New Roman"/>
          <w:szCs w:val="20"/>
          <w:lang w:bidi="ar-SA"/>
        </w:rPr>
        <w:t>: spadek wydatków wynika głównie z braku na etapie planowania budżetu planu wydatków związanego z dopłatami do spółek komunalnych w 2026 r., a które wystąpiły w roku 2025.</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Reasumując, w roku 2026 założono plan wydatków, który wraz z dokonywanymi korektami w trakcie roku, z uwagi na otrzymane dotacje oraz dodatkowe źródła dochodów, powinien zagwarantować prawidłową realizację zadań wszystkich jednostek organizacyjnych miasta.</w:t>
      </w:r>
    </w:p>
    <w:p>
      <w:pPr>
        <w:keepNext w:val="0"/>
        <w:keepLines w:val="0"/>
        <w:widowControl/>
        <w:suppressLineNumbers w:val="0"/>
        <w:shd w:val="clear" w:color="auto" w:fill="auto"/>
        <w:tabs>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Na lata 2027-2029 zaplanowano wzrost wydatków bieżących z tytułu wynagrodzeń o wskaźnik wzrostu wynagrodzeń wynikający z wytycznych MF dotyczących stosowania jednolitych wskaźników makroekonomicznych będących podstawą oszacowania skutków finansowych projektowanych ustaw z dnia 17 lipca 2025 r., a wzrost pozostałych wydatków bieżących o wskaźnik CPI.</w:t>
      </w:r>
    </w:p>
    <w:p>
      <w:pPr>
        <w:keepNext w:val="0"/>
        <w:keepLines w:val="0"/>
        <w:widowControl/>
        <w:suppressLineNumbers w:val="0"/>
        <w:shd w:val="clear" w:color="auto" w:fill="auto"/>
        <w:tabs>
          <w:tab w:val="left" w:pos="0"/>
        </w:tabs>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 xml:space="preserve">Dane dotyczące wydatków w latach 2030-2046 indeksowano wskaźnikiem CPI ustalonym w ww. wytycznych. </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rPr>
          <w:rFonts w:eastAsia="Times New Roman" w:cs="Times New Roman"/>
          <w:b/>
          <w:szCs w:val="20"/>
          <w:lang w:bidi="ar-SA"/>
        </w:rPr>
      </w:pPr>
      <w:r>
        <w:rPr>
          <w:rFonts w:eastAsia="Times New Roman" w:cs="Times New Roman"/>
          <w:b/>
          <w:szCs w:val="20"/>
          <w:lang w:bidi="ar-SA"/>
        </w:rPr>
        <w:t>2.1.1. Wydatki na wynagrodzenia i składki od nich naliczane</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W roku 2025 podjęto szereg trudnych decyzji związanych ze zmianą organizacji pracy oraz standaryzacją etatów zwłaszcza placówek oświatowych. Zadecydowano również o przekazaniu części zadań ustawowych nałożonych na miasto do nowoutworzonej spółki komunalnej pn. Bytomski Zakład Usług Komunalnych Sp. z o.o.</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Ustawa z dnia 1 października 2024 r. o dochodach jednostek samorządu terytorialnego, która miała na celu znaczące zwiększenie dochodów jednostek samorządowych oraz wsparcie miast niezamożnych w realizacji zadań bieżących, w rzeczywistości doprowadziła do niesprawiedliwego ograniczenia dochodów Bytomia, co wykazano powyżej. Problemy, które wynikają z tej sytuacji, szczególnie widoczne są w obszarze oświaty. Wyliczone potrzeby oświatowe nie są wystarczające, by pokryć wszystkie wydatki związane z wynagrodzeniami nauczycieli, kosztami utrzymania placówek oświatowych oraz dotacjami dla szkół niepublicznych.</w:t>
      </w:r>
    </w:p>
    <w:p>
      <w:pPr>
        <w:keepNext w:val="0"/>
        <w:keepLines w:val="0"/>
        <w:widowControl/>
        <w:suppressLineNumbers w:val="0"/>
        <w:shd w:val="clear" w:color="auto" w:fill="auto"/>
        <w:suppressAutoHyphens w:val="0"/>
        <w:spacing w:before="0" w:beforeAutospacing="0" w:after="120" w:afterAutospacing="0" w:line="240" w:lineRule="auto"/>
        <w:ind w:left="0" w:right="-2" w:firstLine="0"/>
        <w:contextualSpacing w:val="0"/>
        <w:jc w:val="both"/>
        <w:rPr>
          <w:rFonts w:eastAsia="Times New Roman" w:cs="Times New Roman"/>
          <w:szCs w:val="20"/>
          <w:lang w:bidi="ar-SA"/>
        </w:rPr>
      </w:pPr>
      <w:r>
        <w:rPr>
          <w:rFonts w:eastAsia="Times New Roman" w:cs="Times New Roman"/>
          <w:szCs w:val="20"/>
          <w:lang w:bidi="ar-SA"/>
        </w:rPr>
        <w:t>Dlatego Miasto celem ograniczenia rosnących z roku na rok kosztów w sferze oświaty wprowadziło w 2025 r. następujące rozwiązania:</w:t>
      </w:r>
    </w:p>
    <w:p>
      <w:pPr>
        <w:keepNext w:val="0"/>
        <w:keepLines w:val="0"/>
        <w:widowControl/>
        <w:numPr>
          <w:ilvl w:val="0"/>
          <w:numId w:val="8"/>
        </w:numPr>
        <w:suppressLineNumbers w:val="0"/>
        <w:shd w:val="clear" w:color="auto" w:fill="auto"/>
        <w:suppressAutoHyphens w:val="0"/>
        <w:spacing w:before="0" w:beforeAutospacing="0" w:after="120" w:afterAutospacing="0" w:line="240" w:lineRule="auto"/>
        <w:ind w:left="340" w:right="0" w:hanging="340"/>
        <w:contextualSpacing w:val="0"/>
        <w:jc w:val="both"/>
        <w:rPr>
          <w:rFonts w:eastAsia="Times New Roman" w:cs="Times New Roman"/>
          <w:szCs w:val="20"/>
          <w:lang w:bidi="ar-SA"/>
        </w:rPr>
      </w:pPr>
      <w:r>
        <w:rPr>
          <w:rFonts w:eastAsia="Times New Roman" w:cs="Times New Roman"/>
          <w:szCs w:val="20"/>
          <w:lang w:bidi="ar-SA"/>
        </w:rPr>
        <w:t>przeprowadzono standaryzację zatrudnienia pracowników administracji i obsługi w placówkach oświatowych, co zaskutkowało obniżeniem liczby etatów o 150. W efekcie uzyskano znaczne oszczędności w zakresie wynagrodzeń w odpowiednich podziałkach klasyfikacji budżetowej.</w:t>
      </w:r>
    </w:p>
    <w:p>
      <w:pPr>
        <w:keepNext w:val="0"/>
        <w:keepLines w:val="0"/>
        <w:widowControl/>
        <w:suppressLineNumbers w:val="0"/>
        <w:shd w:val="clear" w:color="auto" w:fill="auto"/>
        <w:suppressAutoHyphens w:val="0"/>
        <w:spacing w:before="0" w:beforeAutospacing="0" w:after="120" w:afterAutospacing="0" w:line="240" w:lineRule="auto"/>
        <w:ind w:left="340" w:right="0" w:firstLine="0"/>
        <w:contextualSpacing w:val="0"/>
        <w:jc w:val="both"/>
        <w:rPr>
          <w:rFonts w:eastAsia="Times New Roman" w:cs="Times New Roman"/>
          <w:szCs w:val="20"/>
          <w:lang w:bidi="ar-SA"/>
        </w:rPr>
      </w:pPr>
      <w:r>
        <w:rPr>
          <w:rFonts w:eastAsia="Times New Roman" w:cs="Times New Roman"/>
          <w:szCs w:val="20"/>
          <w:lang w:bidi="ar-SA"/>
        </w:rPr>
        <w:t>Wg średniej stawki wynagrodzeń wraz z narzutami pracodawcy (bez odpisów na zakładowy fundusz świadczeń socjalnych) wyliczono średnie wynagrodzenie na poziomie 8 045 zł/1 etat, co w roku 2026 rokuje uzyskaniem oszczędności na poziomie około 14 500 000 zł.</w:t>
      </w:r>
    </w:p>
    <w:p>
      <w:pPr>
        <w:keepNext w:val="0"/>
        <w:keepLines w:val="0"/>
        <w:widowControl/>
        <w:suppressLineNumbers w:val="0"/>
        <w:shd w:val="clear" w:color="auto" w:fill="auto"/>
        <w:suppressAutoHyphens w:val="0"/>
        <w:spacing w:before="0" w:beforeAutospacing="0" w:after="120" w:afterAutospacing="0" w:line="240" w:lineRule="auto"/>
        <w:ind w:left="340" w:right="0" w:firstLine="0"/>
        <w:contextualSpacing w:val="0"/>
        <w:jc w:val="both"/>
        <w:rPr>
          <w:rFonts w:eastAsia="Times New Roman" w:cs="Times New Roman"/>
          <w:szCs w:val="20"/>
          <w:lang w:bidi="ar-SA"/>
        </w:rPr>
      </w:pPr>
      <w:r>
        <w:rPr>
          <w:rFonts w:eastAsia="Times New Roman" w:cs="Times New Roman"/>
          <w:szCs w:val="20"/>
          <w:lang w:bidi="ar-SA"/>
        </w:rPr>
        <w:t>Z uwagi na powyższe zmniejszeniu ulegnie odpis na Zakładowy Fundusz Świadczeń Socjalnych. Szacuje się oszczędności z tego tytułu na poziomie około 340 000 zł w 2026 r.</w:t>
      </w:r>
    </w:p>
    <w:p>
      <w:pPr>
        <w:keepNext w:val="0"/>
        <w:keepLines w:val="0"/>
        <w:widowControl/>
        <w:suppressLineNumbers w:val="0"/>
        <w:shd w:val="clear" w:color="auto" w:fill="auto"/>
        <w:suppressAutoHyphens w:val="0"/>
        <w:spacing w:before="0" w:beforeAutospacing="0" w:after="120" w:afterAutospacing="0" w:line="240" w:lineRule="auto"/>
        <w:ind w:left="340" w:right="0" w:firstLine="0"/>
        <w:contextualSpacing w:val="0"/>
        <w:jc w:val="both"/>
        <w:rPr>
          <w:rFonts w:eastAsia="Times New Roman" w:cs="Times New Roman"/>
          <w:szCs w:val="20"/>
          <w:lang w:bidi="ar-SA"/>
        </w:rPr>
      </w:pPr>
      <w:r>
        <w:rPr>
          <w:rFonts w:eastAsia="Times New Roman" w:cs="Times New Roman"/>
          <w:szCs w:val="20"/>
          <w:lang w:bidi="ar-SA"/>
        </w:rPr>
        <w:t xml:space="preserve">W kolejnych latach kwota ta zwiększy się z uwagi na brak konieczności wypłacenia dodatkowego wynagrodzenia rocznego związanego ze zredukowanymi etatami. </w:t>
      </w:r>
    </w:p>
    <w:p>
      <w:pPr>
        <w:keepNext w:val="0"/>
        <w:keepLines w:val="0"/>
        <w:widowControl/>
        <w:numPr>
          <w:ilvl w:val="0"/>
          <w:numId w:val="8"/>
        </w:numPr>
        <w:suppressLineNumbers w:val="0"/>
        <w:shd w:val="clear" w:color="auto" w:fill="auto"/>
        <w:suppressAutoHyphens w:val="0"/>
        <w:spacing w:before="0" w:beforeAutospacing="0" w:after="120" w:afterAutospacing="0" w:line="240" w:lineRule="auto"/>
        <w:ind w:left="340" w:right="0" w:hanging="340"/>
        <w:contextualSpacing w:val="0"/>
        <w:jc w:val="both"/>
        <w:rPr>
          <w:rFonts w:eastAsia="Times New Roman" w:cs="Times New Roman"/>
          <w:szCs w:val="20"/>
          <w:lang w:bidi="ar-SA"/>
        </w:rPr>
      </w:pPr>
      <w:r>
        <w:rPr>
          <w:rFonts w:eastAsia="Times New Roman" w:cs="Times New Roman"/>
          <w:szCs w:val="20"/>
          <w:lang w:bidi="ar-SA"/>
        </w:rPr>
        <w:t>zmniejszenie liczby oddziałów (z uwagi na niż demograficzny nie otwierano mało liczebnych oddziałów, wobec czego uległa zmniejszeniu liczba oddziałów w stosunku do roku poprzedniego o 32. Średni koszt oddziału szacuje się na około 200 000 zł/rocznie), co daje możliwe do osiągnięcia z tego tytułu oszczędności w kwocie około 6 400 000 zł.</w:t>
      </w:r>
    </w:p>
    <w:p>
      <w:pPr>
        <w:keepNext w:val="0"/>
        <w:keepLines w:val="0"/>
        <w:widowControl/>
        <w:numPr>
          <w:ilvl w:val="0"/>
          <w:numId w:val="8"/>
        </w:numPr>
        <w:suppressLineNumbers w:val="0"/>
        <w:shd w:val="clear" w:color="auto" w:fill="auto"/>
        <w:suppressAutoHyphens w:val="0"/>
        <w:spacing w:before="120" w:beforeAutospacing="0" w:after="240" w:afterAutospacing="0" w:line="240" w:lineRule="auto"/>
        <w:ind w:left="340" w:right="0" w:hanging="340"/>
        <w:contextualSpacing w:val="0"/>
        <w:jc w:val="both"/>
        <w:rPr>
          <w:rFonts w:eastAsia="Times New Roman" w:cs="Times New Roman"/>
          <w:szCs w:val="20"/>
          <w:lang w:bidi="ar-SA"/>
        </w:rPr>
      </w:pPr>
      <w:r>
        <w:rPr>
          <w:rFonts w:eastAsia="Times New Roman" w:cs="Times New Roman"/>
          <w:szCs w:val="20"/>
          <w:lang w:bidi="ar-SA"/>
        </w:rPr>
        <w:t>podjęto decyzję o likwidacji jednego przedszkola miejskiego, którego koszt utrzymania rocznie (po odliczeniu otrzymywanych przez miasto transferów z budżetu państwa i dochodów własnych) wyniósł w 2024r. około 1 200 000 zł.</w:t>
      </w:r>
    </w:p>
    <w:p>
      <w:pPr>
        <w:keepNext w:val="0"/>
        <w:keepLines w:val="0"/>
        <w:widowControl/>
        <w:suppressLineNumbers w:val="0"/>
        <w:shd w:val="clear" w:color="auto" w:fill="auto"/>
        <w:suppressAutoHyphens w:val="0"/>
        <w:spacing w:before="120" w:beforeAutospacing="0" w:after="240" w:afterAutospacing="0" w:line="240" w:lineRule="auto"/>
        <w:ind w:left="0" w:right="57" w:firstLine="0"/>
        <w:contextualSpacing w:val="0"/>
        <w:jc w:val="both"/>
        <w:rPr>
          <w:rFonts w:eastAsia="Times New Roman" w:cs="Times New Roman"/>
          <w:b/>
          <w:szCs w:val="20"/>
          <w:lang w:bidi="ar-SA"/>
        </w:rPr>
      </w:pPr>
      <w:r>
        <w:rPr>
          <w:rFonts w:eastAsia="Times New Roman" w:cs="Times New Roman"/>
          <w:szCs w:val="20"/>
          <w:lang w:bidi="ar-SA"/>
        </w:rPr>
        <w:t>Należy przy tym podkreślić, iż są to bardzo trudne i społecznie wrażliwe do podjęcia decyzje. Zaznaczenia wymaga fakt, że kwota wyliczonych i przyznanych miastu potrzeb oświatowych pokrywa tylko część tych wydatków, wskazując z roku na rok na konieczność dopłacania przez samorządy coraz większych kwot związanych z oświatą. W efekcie</w:t>
      </w:r>
      <w:r>
        <w:rPr>
          <w:rFonts w:eastAsia="Times New Roman" w:cs="Times New Roman"/>
          <w:b/>
          <w:szCs w:val="20"/>
          <w:lang w:bidi="ar-SA"/>
        </w:rPr>
        <w:t xml:space="preserve"> wyliczone przez MF potrzeby oświatowe na rok </w:t>
      </w:r>
      <w:r>
        <w:rPr>
          <w:rFonts w:eastAsia="Times New Roman" w:cs="Times New Roman"/>
          <w:b/>
          <w:szCs w:val="20"/>
          <w:u w:val="single"/>
          <w:lang w:bidi="ar-SA"/>
        </w:rPr>
        <w:t>2026 wynoszą zaledwie 408 605 956 zł</w:t>
      </w:r>
      <w:r>
        <w:rPr>
          <w:rFonts w:eastAsia="Times New Roman" w:cs="Times New Roman"/>
          <w:b/>
          <w:szCs w:val="20"/>
          <w:lang w:bidi="ar-SA"/>
        </w:rPr>
        <w:t xml:space="preserve"> i są znacząco niższe od rzeczywistych wydatków bieżących związanych z utrzymaniem oświaty w mieście. </w:t>
      </w:r>
    </w:p>
    <w:p>
      <w:pPr>
        <w:keepNext w:val="0"/>
        <w:keepLines w:val="0"/>
        <w:widowControl/>
        <w:suppressLineNumbers w:val="0"/>
        <w:shd w:val="clear" w:color="auto" w:fill="auto"/>
        <w:suppressAutoHyphens w:val="0"/>
        <w:spacing w:before="0" w:beforeAutospacing="0" w:after="240" w:afterAutospacing="0" w:line="240" w:lineRule="auto"/>
        <w:ind w:left="0" w:right="57" w:firstLine="0"/>
        <w:contextualSpacing w:val="0"/>
        <w:jc w:val="both"/>
        <w:rPr>
          <w:rFonts w:eastAsia="Times New Roman" w:cs="Times New Roman"/>
          <w:b/>
          <w:szCs w:val="20"/>
          <w:lang w:bidi="ar-SA"/>
        </w:rPr>
      </w:pPr>
      <w:r>
        <w:rPr>
          <w:rFonts w:eastAsia="Times New Roman" w:cs="Times New Roman"/>
          <w:b/>
          <w:szCs w:val="20"/>
          <w:lang w:bidi="ar-SA"/>
        </w:rPr>
        <w:t xml:space="preserve">Warto przy tym podkreślić, iż już w obecnym, 2025 roku wydatki bieżące ogółem związane z oświatą i wychowaniem za trzy kwartały roku 2025 wykonane zostały w kwocie ponad 443 100 000 zł, a </w:t>
      </w:r>
      <w:r>
        <w:rPr>
          <w:rFonts w:eastAsia="Times New Roman" w:cs="Times New Roman"/>
          <w:b/>
          <w:szCs w:val="20"/>
          <w:u w:val="single"/>
          <w:lang w:bidi="ar-SA"/>
        </w:rPr>
        <w:t>plan samych wynagrodzeń związanych z oświatą w mieście wynosi na 31 października 2025 r. 435 881 568 zł</w:t>
      </w:r>
      <w:r>
        <w:rPr>
          <w:rFonts w:eastAsia="Times New Roman" w:cs="Times New Roman"/>
          <w:b/>
          <w:szCs w:val="20"/>
          <w:lang w:bidi="ar-SA"/>
        </w:rPr>
        <w:t xml:space="preserve"> (bez pozostałych kosztów związanych z utrzymaniem placówek oświatowych). Wzrost ten w porównaniu do planu pierwotnego ustalonego na poziomie 335 971 367 zł na dzień 1 stycznia 2025 r. wynosi aż 99 910 201 zł.</w:t>
      </w:r>
    </w:p>
    <w:p>
      <w:pPr>
        <w:keepNext w:val="0"/>
        <w:keepLines w:val="0"/>
        <w:widowControl/>
        <w:suppressLineNumbers w:val="0"/>
        <w:shd w:val="clear" w:color="auto" w:fill="auto"/>
        <w:suppressAutoHyphens w:val="0"/>
        <w:spacing w:before="0" w:beforeAutospacing="0" w:after="240" w:afterAutospacing="0" w:line="240" w:lineRule="auto"/>
        <w:ind w:left="0" w:right="57" w:firstLine="0"/>
        <w:contextualSpacing w:val="0"/>
        <w:jc w:val="both"/>
        <w:rPr>
          <w:rFonts w:eastAsia="Times New Roman" w:cs="Times New Roman"/>
          <w:szCs w:val="20"/>
          <w:lang w:bidi="ar-SA"/>
        </w:rPr>
      </w:pPr>
      <w:r>
        <w:rPr>
          <w:rFonts w:eastAsia="Times New Roman" w:cs="Times New Roman"/>
          <w:szCs w:val="20"/>
          <w:lang w:bidi="ar-SA"/>
        </w:rPr>
        <w:t>Na rok 2026 szacuje się, po uwzględnieniu powyższego, plan związany z wynagrodzeniami pracowników oświaty w mieście na poziomie 406 490 068 zł, tj. aż o 70 518 701 zł wyższy od planu pierwotnego na 1 stycznia 2025 r. Uwzględnia on poczynione, niezbędne oszczędności opisane powyżej, które rokują zabezpieczenie płatności związanych z utrzymaniem placówek oświatowych w mieście w roku 2026.</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 xml:space="preserve">Na poziom kształtowania się wynagrodzeń zaplanowanych do poniesienia w roku 2026 nie bez znaczenia jest fakt przeniesienia 68 pracowników jednostki budżetowej do nowoutworzonej spółki komunalnej, co wskazuje niższy poziom planu finansowego związanego z podziałkami klasyfikacji budżetowej w ramach działu </w:t>
      </w:r>
      <w:r>
        <w:rPr>
          <w:rFonts w:eastAsia="Times New Roman" w:cs="Times New Roman"/>
          <w:i/>
          <w:szCs w:val="20"/>
          <w:lang w:bidi="ar-SA"/>
        </w:rPr>
        <w:t>900 – Gospodarka komunalna i ochrona środowiska</w:t>
      </w:r>
      <w:r>
        <w:rPr>
          <w:rFonts w:eastAsia="Times New Roman" w:cs="Times New Roman"/>
          <w:szCs w:val="20"/>
          <w:lang w:bidi="ar-SA"/>
        </w:rPr>
        <w:t xml:space="preserve">, rozdziału </w:t>
      </w:r>
      <w:r>
        <w:rPr>
          <w:rFonts w:eastAsia="Times New Roman" w:cs="Times New Roman"/>
          <w:i/>
          <w:szCs w:val="20"/>
          <w:lang w:bidi="ar-SA"/>
        </w:rPr>
        <w:t>90017 – Zakłady gospodarki komunalnej</w:t>
      </w:r>
      <w:r>
        <w:rPr>
          <w:rFonts w:eastAsia="Times New Roman" w:cs="Times New Roman"/>
          <w:szCs w:val="20"/>
          <w:lang w:bidi="ar-SA"/>
        </w:rPr>
        <w:t xml:space="preserve"> i </w:t>
      </w:r>
      <w:r>
        <w:rPr>
          <w:rFonts w:eastAsia="Times New Roman" w:cs="Times New Roman"/>
          <w:i/>
          <w:szCs w:val="20"/>
          <w:lang w:bidi="ar-SA"/>
        </w:rPr>
        <w:t>90002 – Gospodarka odpadami komunalnymi</w:t>
      </w:r>
      <w:r>
        <w:rPr>
          <w:rFonts w:eastAsia="Times New Roman" w:cs="Times New Roman"/>
          <w:szCs w:val="20"/>
          <w:lang w:bidi="ar-SA"/>
        </w:rPr>
        <w:t>. Plan ten na dzień 1 stycznia 2025 r. wynosił łącznie kwotę 20 501 982 zł, podczas gdy na rok 2026 wynosi kwotę 15 012 218 zł. Skutkuje to niemal 5 489 764 zł poczynionych w tym zakresie oszczędności (należy wskazać, iż przeniesienie pracowników nastąpiło z dniem 1 czerwca 2025 r. i już w 2025 r. dokonano zmian w tym zakresie, w związku z czym plan w zakresie wynagrodzeń został zmniejszony i na dzień 30 września wynosił ponad 18 400 000 zł.).</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Należy przy tym zaznaczyć, iż część zaplanowanych środków, które będą potencjalnie wydatkowane w trakcie 2026 r. na wydatki związane z wynagrodzeniami dotyczy utworzonej rezerwy na odprawy (aż 13 695 662 zł wg informacji podległych jednostek) i nie można jej obecnie wykazać jako środki na wydatki dotyczące wynagrodzeń. W roku 2025 z rezerwy dokonano stosownych przeniesień na wydatki związane z wynagrodzeniami w kwocie 4 884 949 zł (stan na 31 października br.).</w:t>
      </w:r>
    </w:p>
    <w:p>
      <w:pPr>
        <w:keepNext w:val="0"/>
        <w:keepLines w:val="0"/>
        <w:widowControl/>
        <w:suppressLineNumbers w:val="0"/>
        <w:shd w:val="clear" w:color="auto" w:fill="auto"/>
        <w:suppressAutoHyphens w:val="0"/>
        <w:spacing w:before="0" w:beforeAutospacing="0" w:after="12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Przy pozostałych wzrostach wynikających z przepisów prawa założono ponadto w 2026 roku</w:t>
      </w:r>
      <w:r>
        <w:rPr>
          <w:rFonts w:eastAsia="Times New Roman" w:cs="Times New Roman"/>
          <w:b/>
          <w:szCs w:val="20"/>
          <w:lang w:bidi="ar-SA"/>
        </w:rPr>
        <w:t xml:space="preserve"> </w:t>
      </w:r>
      <w:r>
        <w:rPr>
          <w:rFonts w:eastAsia="Times New Roman" w:cs="Times New Roman"/>
          <w:szCs w:val="20"/>
          <w:lang w:bidi="ar-SA"/>
        </w:rPr>
        <w:t>wzrost wydatków dotyczących wynagrodzeń wraz z pochodnymi o 13,6% względem planu pierwotnego na 1 stycznia 2025 r. Obecny plan na dzień 31 października 2025 r. jest niższy od zaplanowanych kwot w tym zakresie na 2026 r., co jest spowodowane przede wszystkim:</w:t>
      </w:r>
    </w:p>
    <w:p>
      <w:pPr>
        <w:keepNext w:val="0"/>
        <w:keepLines w:val="0"/>
        <w:widowControl/>
        <w:numPr>
          <w:ilvl w:val="0"/>
          <w:numId w:val="3"/>
        </w:numPr>
        <w:suppressLineNumbers w:val="0"/>
        <w:shd w:val="clear" w:color="auto" w:fill="auto"/>
        <w:suppressAutoHyphens w:val="0"/>
        <w:spacing w:before="0" w:beforeAutospacing="0" w:after="120" w:afterAutospacing="0" w:line="240" w:lineRule="auto"/>
        <w:ind w:left="340" w:right="0" w:hanging="340"/>
        <w:contextualSpacing w:val="0"/>
        <w:jc w:val="both"/>
        <w:rPr>
          <w:rFonts w:eastAsia="Times New Roman" w:cs="Times New Roman"/>
          <w:szCs w:val="20"/>
          <w:lang w:bidi="ar-SA"/>
        </w:rPr>
      </w:pPr>
      <w:r>
        <w:rPr>
          <w:rFonts w:eastAsia="Times New Roman" w:cs="Times New Roman"/>
          <w:szCs w:val="20"/>
          <w:lang w:bidi="ar-SA"/>
        </w:rPr>
        <w:t xml:space="preserve">brakiem przekazanych danych o kwotach przewidzianych w 2026 roku dla miasta w formie dotacji celowych z budżetu państwa, (przykładowo na wypłatę dodatków motywacyjnych do wynagrodzeń pracowników zatrudnionych w jednostkach pomocy społecznej, gdzie plan na 31 października 2025 r. wynosi 10 299 416 zł, a na 2026 r. przyznano obecnie decyzją wojewody kwotę 4 872 331 zł). Po otrzymaniu zawiadomień o kwotach przyznanych miastu na ten cel w 2026 roku plan wydatków na wynagrodzenia zostanie zaktualizowany. </w:t>
      </w:r>
    </w:p>
    <w:p>
      <w:pPr>
        <w:keepNext w:val="0"/>
        <w:keepLines w:val="0"/>
        <w:widowControl/>
        <w:numPr>
          <w:ilvl w:val="0"/>
          <w:numId w:val="3"/>
        </w:numPr>
        <w:suppressLineNumbers w:val="0"/>
        <w:shd w:val="clear" w:color="auto" w:fill="auto"/>
        <w:suppressAutoHyphens w:val="0"/>
        <w:spacing w:before="0" w:beforeAutospacing="0" w:after="120" w:afterAutospacing="0" w:line="240" w:lineRule="auto"/>
        <w:ind w:left="340" w:right="0" w:hanging="340"/>
        <w:contextualSpacing w:val="0"/>
        <w:jc w:val="both"/>
        <w:rPr>
          <w:rFonts w:eastAsia="Times New Roman" w:cs="Times New Roman"/>
          <w:szCs w:val="20"/>
          <w:lang w:bidi="ar-SA"/>
        </w:rPr>
      </w:pPr>
      <w:r>
        <w:rPr>
          <w:rFonts w:eastAsia="Times New Roman" w:cs="Times New Roman"/>
          <w:szCs w:val="20"/>
          <w:lang w:bidi="ar-SA"/>
        </w:rPr>
        <w:t>zwiększeniem względem planu pierwotnego w 2025 r. na wynagrodzenia środków z rezerwy dotyczącej zaplanowanych odpraw, co opisano powyżej,</w:t>
      </w:r>
    </w:p>
    <w:p>
      <w:pPr>
        <w:keepNext w:val="0"/>
        <w:keepLines w:val="0"/>
        <w:widowControl/>
        <w:numPr>
          <w:ilvl w:val="0"/>
          <w:numId w:val="3"/>
        </w:numPr>
        <w:suppressLineNumbers w:val="0"/>
        <w:shd w:val="clear" w:color="auto" w:fill="auto"/>
        <w:suppressAutoHyphens w:val="0"/>
        <w:spacing w:before="0" w:beforeAutospacing="0" w:after="240" w:afterAutospacing="0" w:line="240" w:lineRule="auto"/>
        <w:ind w:left="340" w:right="0" w:hanging="340"/>
        <w:contextualSpacing w:val="0"/>
        <w:jc w:val="both"/>
        <w:rPr>
          <w:rFonts w:eastAsia="Times New Roman" w:cs="Times New Roman"/>
          <w:szCs w:val="20"/>
          <w:lang w:bidi="ar-SA"/>
        </w:rPr>
      </w:pPr>
      <w:r>
        <w:rPr>
          <w:rFonts w:eastAsia="Times New Roman" w:cs="Times New Roman"/>
          <w:szCs w:val="20"/>
          <w:lang w:bidi="ar-SA"/>
        </w:rPr>
        <w:t>przewidywanymi skutkami powyżej opisanych oszczędności.</w:t>
      </w:r>
    </w:p>
    <w:p>
      <w:pPr>
        <w:keepNext w:val="0"/>
        <w:keepLines w:val="0"/>
        <w:widowControl/>
        <w:suppressLineNumbers w:val="0"/>
        <w:shd w:val="clear" w:color="auto" w:fill="auto"/>
        <w:suppressAutoHyphens w:val="0"/>
        <w:spacing w:before="0" w:beforeAutospacing="0" w:after="240" w:afterAutospacing="0" w:line="240" w:lineRule="auto"/>
        <w:ind w:left="0" w:right="0" w:firstLine="340"/>
        <w:contextualSpacing w:val="0"/>
        <w:jc w:val="both"/>
        <w:rPr>
          <w:rFonts w:eastAsia="Times New Roman" w:cs="Times New Roman"/>
          <w:szCs w:val="20"/>
          <w:lang w:bidi="ar-SA"/>
        </w:rPr>
      </w:pPr>
      <w:r>
        <w:rPr>
          <w:rFonts w:eastAsia="Times New Roman" w:cs="Times New Roman"/>
          <w:szCs w:val="20"/>
          <w:lang w:bidi="ar-SA"/>
        </w:rPr>
        <w:t>W kolejnych latach założono wzrost wynagrodzeń o wskaźnik wzrostu wynagrodzeń określony w wytycznych dotyczących stosowania jednolitych wskaźników makroekonomicznych będących podstawą oszacowania skutków finansowych projektowanych ustaw w tym zakresie i będzie on dotyczył wyrównań płacy minimalnej do zmian legislacyjnych w tym zakresie.</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b/>
          <w:szCs w:val="20"/>
          <w:lang w:bidi="ar-SA"/>
        </w:rPr>
      </w:pPr>
      <w:r>
        <w:rPr>
          <w:rFonts w:eastAsia="Times New Roman" w:cs="Times New Roman"/>
          <w:b/>
          <w:szCs w:val="20"/>
          <w:lang w:bidi="ar-SA"/>
        </w:rPr>
        <w:t>2.1.2. Wydatki z tytułu poręczeń i gwarancji</w:t>
      </w:r>
    </w:p>
    <w:p>
      <w:pPr>
        <w:keepNext w:val="0"/>
        <w:keepLines w:val="0"/>
        <w:widowControl/>
        <w:suppressLineNumbers w:val="0"/>
        <w:shd w:val="clear" w:color="auto" w:fill="auto"/>
        <w:suppressAutoHyphens w:val="0"/>
        <w:spacing w:before="0" w:beforeAutospacing="0" w:after="240" w:afterAutospacing="0" w:line="240" w:lineRule="auto"/>
        <w:ind w:left="0" w:right="0" w:firstLine="340"/>
        <w:contextualSpacing w:val="0"/>
        <w:jc w:val="both"/>
        <w:rPr>
          <w:rFonts w:eastAsia="Times New Roman" w:cs="Times New Roman"/>
          <w:szCs w:val="20"/>
          <w:lang w:bidi="ar-SA"/>
        </w:rPr>
      </w:pPr>
      <w:r>
        <w:rPr>
          <w:rFonts w:eastAsia="Times New Roman" w:cs="Times New Roman"/>
          <w:szCs w:val="20"/>
          <w:lang w:bidi="ar-SA"/>
        </w:rPr>
        <w:t>W budżecie na rok 2026 zaplanowano wydatki w kwocie ogółem 24.424 zł na potencjalne spłaty wynikające z udzielonego w 2020 roku przez miasto Bytom poręczenia pożyczki dla Bytomskiego Przedsiębiorstwa Komunalnego Sp. z o.o. – zgodnie z umową poręczenia obowiązującą do 31 maja 2026 r.</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rPr>
          <w:rFonts w:eastAsia="Times New Roman" w:cs="Times New Roman"/>
          <w:b/>
          <w:szCs w:val="20"/>
          <w:lang w:bidi="ar-SA"/>
        </w:rPr>
      </w:pPr>
      <w:r>
        <w:rPr>
          <w:rFonts w:eastAsia="Times New Roman" w:cs="Times New Roman"/>
          <w:b/>
          <w:szCs w:val="20"/>
          <w:lang w:bidi="ar-SA"/>
        </w:rPr>
        <w:t>2.1.3. Wydatki na obsługę długu</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W pozycji tej w 2026 r. wykazano wydatki na obsługę długu w kwocie 24 785 000 zł, w tym odsetki od zaciągniętych kredytów i pożyczek oraz wyemitowanych papierów wartościowych – 24 600 000 zł. Wartości w poszczególnych wierszach wynikają z umów dotyczących zaciągniętych kredytów, pożyczek oraz wyemitowanych w latach 2013, 2015, 2016, 2019, 2020, 2021, 2023 i 2024 papierów wartościowych, a także kredytu z Europejskiego Banku Inwestycyjnego (w latach 2018-2021 uruchomiono 4 transze w łącznej kwocie 170 000 000 zł).</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 xml:space="preserve">Na etapie tworzenia projektu budżetu na rok 2026 zastosowano wytyczne MF odnośnie wskaźnika stopy procentowej (referencyjnej NBP) wynoszącej 3,9% na rok 2026. Szacując koszty obsługi długu na 2026 rok uwzględniono dotychczas otrzymane zawiadomienia banków o kwotach należnych do zapłaty w I półroczu przyszłego roku, bazujące na obecnie obowiązujących poziomach stóp procentowych tj. WIBOR 3M=4,30% oraz WIBOR 6M=4,21%. </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W kolejnych latach analizy odniesiono się do wytycznych MF i malejącej kwoty zadłużenia.</w:t>
      </w:r>
    </w:p>
    <w:p>
      <w:pPr>
        <w:keepNext w:val="0"/>
        <w:keepLines w:val="0"/>
        <w:widowControl/>
        <w:suppressLineNumbers w:val="0"/>
        <w:shd w:val="clear" w:color="auto" w:fill="auto"/>
        <w:suppressAutoHyphens w:val="0"/>
        <w:spacing w:before="0" w:beforeAutospacing="0" w:after="240" w:afterAutospacing="0" w:line="240" w:lineRule="auto"/>
        <w:ind w:left="0" w:right="0" w:firstLine="340"/>
        <w:contextualSpacing w:val="0"/>
        <w:jc w:val="both"/>
        <w:rPr>
          <w:rFonts w:eastAsia="Times New Roman" w:cs="Times New Roman"/>
          <w:szCs w:val="20"/>
          <w:lang w:bidi="ar-SA"/>
        </w:rPr>
      </w:pPr>
      <w:r>
        <w:rPr>
          <w:rFonts w:eastAsia="Times New Roman" w:cs="Times New Roman"/>
          <w:szCs w:val="20"/>
          <w:lang w:bidi="ar-SA"/>
        </w:rPr>
        <w:t xml:space="preserve">Jednocześnie, nie wyklucza to zmiany danych wpływających pozytywnie na możliwości budżetowe miasta w kolejnych latach i poprawę podstawowych wskaźników budżetowych. W przypadku decyzji NBP o obniżeniu lub podwyższeniu stóp procentowych dane zawarte w wieloletniej prognozie finansowej miasta zostaną odpowiednio skorygowane. </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rPr>
          <w:rFonts w:eastAsia="Times New Roman" w:cs="Times New Roman"/>
          <w:b/>
          <w:szCs w:val="20"/>
          <w:lang w:bidi="ar-SA"/>
        </w:rPr>
      </w:pPr>
      <w:r>
        <w:rPr>
          <w:rFonts w:eastAsia="Times New Roman" w:cs="Times New Roman"/>
          <w:b/>
          <w:szCs w:val="20"/>
          <w:lang w:bidi="ar-SA"/>
        </w:rPr>
        <w:t>2.1.3.3. Pozostałe odsetki i dyskonto podlegające wyłączeniu z limitu spłaty zobowiązań, o którym mowa w art. 243 ustawy</w:t>
      </w:r>
    </w:p>
    <w:p>
      <w:pPr>
        <w:keepNext w:val="0"/>
        <w:keepLines w:val="0"/>
        <w:widowControl/>
        <w:suppressLineNumbers w:val="0"/>
        <w:shd w:val="clear" w:color="auto" w:fill="auto"/>
        <w:suppressAutoHyphens w:val="0"/>
        <w:spacing w:before="0" w:beforeAutospacing="0" w:after="240" w:afterAutospacing="0" w:line="240" w:lineRule="auto"/>
        <w:ind w:left="0" w:right="0" w:firstLine="284"/>
        <w:contextualSpacing w:val="0"/>
        <w:jc w:val="both"/>
        <w:rPr>
          <w:rFonts w:eastAsia="Times New Roman" w:cs="Times New Roman"/>
          <w:b/>
          <w:szCs w:val="20"/>
          <w:lang w:bidi="ar-SA"/>
        </w:rPr>
      </w:pPr>
      <w:r>
        <w:rPr>
          <w:rFonts w:eastAsia="Times New Roman" w:cs="Times New Roman"/>
          <w:szCs w:val="20"/>
          <w:lang w:bidi="ar-SA"/>
        </w:rPr>
        <w:t>W wierszu tym ujęto wydatki z tytułu odsetek od kredytu zaciągniętego w kwocie 10 000 000 zł na sfinansowanie utraconych dochodów podatkowych w roku 2020, podlegające wyłączeniu z limitu spłaty na podstawie art. 15 zob ust. 1 ustawy z dnia 2 marca 2020 r. o szczególnych rozwiązaniach związanych z zapobieganiem, przeciwdziałaniem i zwalczaniem COVID-19, innych chorób zakaźnych oraz wywołanych nimi sytuacji kryzysowych. Spłata kredytu nastąpi w latach 2026-2030.</w:t>
      </w:r>
      <w:r>
        <w:rPr>
          <w:rFonts w:eastAsia="Times New Roman" w:cs="Times New Roman"/>
          <w:b/>
          <w:szCs w:val="20"/>
          <w:lang w:bidi="ar-SA"/>
        </w:rPr>
        <w:t xml:space="preserve"> </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rPr>
          <w:rFonts w:eastAsia="Times New Roman" w:cs="Times New Roman"/>
          <w:szCs w:val="20"/>
          <w:lang w:bidi="ar-SA"/>
        </w:rPr>
      </w:pPr>
      <w:r>
        <w:rPr>
          <w:rFonts w:eastAsia="Times New Roman" w:cs="Times New Roman"/>
          <w:b/>
          <w:szCs w:val="20"/>
          <w:lang w:bidi="ar-SA"/>
        </w:rPr>
        <w:t>2.2. Wydatki majątkowe</w:t>
      </w:r>
      <w:r>
        <w:rPr>
          <w:rFonts w:eastAsia="Times New Roman" w:cs="Times New Roman"/>
          <w:szCs w:val="20"/>
          <w:lang w:bidi="ar-SA"/>
        </w:rPr>
        <w:t xml:space="preserve"> </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rPr>
          <w:rFonts w:eastAsia="Times New Roman" w:cs="Times New Roman"/>
          <w:szCs w:val="20"/>
          <w:lang w:bidi="ar-SA"/>
        </w:rPr>
      </w:pPr>
      <w:r>
        <w:rPr>
          <w:rFonts w:eastAsia="Times New Roman" w:cs="Times New Roman"/>
          <w:szCs w:val="20"/>
          <w:lang w:bidi="ar-SA"/>
        </w:rPr>
        <w:t>W pozycji tej wykazano szacunkowe wartości wydatków majątkowych, wynikające głównie z zaplanowanych do realizacji przedsięwzięć inwestycyjnych, określonych w załączniku do niniejszej prognozy.</w:t>
      </w:r>
    </w:p>
    <w:p>
      <w:pPr>
        <w:keepNext w:val="0"/>
        <w:keepLines w:val="0"/>
        <w:widowControl/>
        <w:suppressLineNumbers w:val="0"/>
        <w:shd w:val="clear" w:color="auto" w:fill="auto"/>
        <w:suppressAutoHyphens w:val="0"/>
        <w:spacing w:before="0" w:beforeAutospacing="0" w:after="12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 xml:space="preserve">W 2026 roku na kwotę wydatków majątkowych w wysokości 158 833 201 zł składają się wydatki na: </w:t>
      </w:r>
    </w:p>
    <w:p>
      <w:pPr>
        <w:keepNext w:val="0"/>
        <w:keepLines w:val="0"/>
        <w:widowControl/>
        <w:numPr>
          <w:ilvl w:val="0"/>
          <w:numId w:val="9"/>
        </w:numPr>
        <w:suppressLineNumbers w:val="0"/>
        <w:shd w:val="clear" w:color="auto" w:fill="auto"/>
        <w:suppressAutoHyphens w:val="0"/>
        <w:spacing w:before="0" w:beforeAutospacing="0" w:after="120" w:afterAutospacing="0" w:line="240" w:lineRule="auto"/>
        <w:ind w:left="340" w:right="0" w:hanging="340"/>
        <w:contextualSpacing w:val="0"/>
        <w:jc w:val="both"/>
        <w:rPr>
          <w:rFonts w:eastAsia="Times New Roman" w:cs="Times New Roman"/>
          <w:szCs w:val="20"/>
          <w:lang w:bidi="ar-SA"/>
        </w:rPr>
      </w:pPr>
      <w:r>
        <w:rPr>
          <w:rFonts w:eastAsia="Times New Roman" w:cs="Times New Roman"/>
          <w:szCs w:val="20"/>
          <w:lang w:bidi="ar-SA"/>
        </w:rPr>
        <w:t xml:space="preserve">realizację zadań inwestycyjnych ujętych w wieloletniej prognozie finansowej – 137 979 653 zł, </w:t>
      </w:r>
    </w:p>
    <w:p>
      <w:pPr>
        <w:keepNext w:val="0"/>
        <w:keepLines w:val="0"/>
        <w:widowControl/>
        <w:numPr>
          <w:ilvl w:val="0"/>
          <w:numId w:val="9"/>
        </w:numPr>
        <w:suppressLineNumbers w:val="0"/>
        <w:shd w:val="clear" w:color="auto" w:fill="auto"/>
        <w:suppressAutoHyphens w:val="0"/>
        <w:spacing w:before="0" w:beforeAutospacing="0" w:after="120" w:afterAutospacing="0" w:line="240" w:lineRule="auto"/>
        <w:ind w:left="340" w:right="0" w:hanging="340"/>
        <w:contextualSpacing w:val="0"/>
        <w:jc w:val="both"/>
        <w:rPr>
          <w:rFonts w:eastAsia="Times New Roman" w:cs="Times New Roman"/>
          <w:szCs w:val="20"/>
          <w:lang w:bidi="ar-SA"/>
        </w:rPr>
      </w:pPr>
      <w:r>
        <w:rPr>
          <w:rFonts w:eastAsia="Times New Roman" w:cs="Times New Roman"/>
          <w:szCs w:val="20"/>
          <w:lang w:bidi="ar-SA"/>
        </w:rPr>
        <w:t xml:space="preserve">realizację inwestycji jednorocznych – 18 095 548 zł, w tym zadań związanych z budżetem obywatelskim w zakresie wydatków majątkowych w łącznej kwocie 5 783 676 zł, </w:t>
      </w:r>
    </w:p>
    <w:p>
      <w:pPr>
        <w:keepNext w:val="0"/>
        <w:keepLines w:val="0"/>
        <w:widowControl/>
        <w:numPr>
          <w:ilvl w:val="0"/>
          <w:numId w:val="9"/>
        </w:numPr>
        <w:suppressLineNumbers w:val="0"/>
        <w:shd w:val="clear" w:color="auto" w:fill="auto"/>
        <w:suppressAutoHyphens w:val="0"/>
        <w:spacing w:before="0" w:beforeAutospacing="0" w:after="120" w:afterAutospacing="0" w:line="240" w:lineRule="auto"/>
        <w:ind w:left="340" w:right="0" w:hanging="340"/>
        <w:contextualSpacing w:val="0"/>
        <w:jc w:val="both"/>
        <w:rPr>
          <w:rFonts w:eastAsia="Times New Roman" w:cs="Times New Roman"/>
          <w:szCs w:val="20"/>
          <w:lang w:bidi="ar-SA"/>
        </w:rPr>
      </w:pPr>
      <w:r>
        <w:rPr>
          <w:rFonts w:eastAsia="Times New Roman" w:cs="Times New Roman"/>
          <w:szCs w:val="20"/>
          <w:lang w:bidi="ar-SA"/>
        </w:rPr>
        <w:t xml:space="preserve">zakupy inwestycyjne – 778 000 zł, </w:t>
      </w:r>
    </w:p>
    <w:p>
      <w:pPr>
        <w:keepNext w:val="0"/>
        <w:keepLines w:val="0"/>
        <w:widowControl/>
        <w:numPr>
          <w:ilvl w:val="0"/>
          <w:numId w:val="9"/>
        </w:numPr>
        <w:suppressLineNumbers w:val="0"/>
        <w:shd w:val="clear" w:color="auto" w:fill="auto"/>
        <w:suppressAutoHyphens w:val="0"/>
        <w:spacing w:before="0" w:beforeAutospacing="0" w:after="240" w:afterAutospacing="0" w:line="240" w:lineRule="auto"/>
        <w:ind w:left="340" w:right="0" w:hanging="340"/>
        <w:contextualSpacing w:val="0"/>
        <w:jc w:val="both"/>
        <w:rPr>
          <w:rFonts w:eastAsia="Times New Roman" w:cs="Times New Roman"/>
          <w:szCs w:val="20"/>
          <w:lang w:bidi="ar-SA"/>
        </w:rPr>
      </w:pPr>
      <w:r>
        <w:rPr>
          <w:rFonts w:eastAsia="Times New Roman" w:cs="Times New Roman"/>
          <w:szCs w:val="20"/>
          <w:lang w:bidi="ar-SA"/>
        </w:rPr>
        <w:t>rezerwę celową na wydatki majątkowe – 2 000 000 zł.</w:t>
      </w:r>
    </w:p>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Do głównych wydatków majątkowych należy zaliczyć wydatki na realizację inwestycji, zgodnie z poniższym zestawieniem:</w:t>
      </w:r>
    </w:p>
    <w:tbl>
      <w:tblPr>
        <w:tblStyle w:val="TableNormal"/>
        <w:tblW w:w="14980" w:type="dxa"/>
        <w:jc w:val="center"/>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9625"/>
        <w:gridCol w:w="1690"/>
        <w:gridCol w:w="2005"/>
        <w:gridCol w:w="1640"/>
      </w:tblGrid>
      <w:tr>
        <w:tblPrEx>
          <w:tblW w:w="14980" w:type="dxa"/>
          <w:jc w:val="center"/>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Ex>
        <w:trPr>
          <w:cantSplit/>
          <w:trHeight w:val="227"/>
          <w:jc w:val="center"/>
        </w:trPr>
        <w:tc>
          <w:tcPr>
            <w:tcW w:w="10065" w:type="dxa"/>
            <w:tcBorders>
              <w:top w:val="nil"/>
              <w:left w:val="nil"/>
              <w:bottom w:val="single" w:sz="4" w:space="0" w:color="auto"/>
              <w:right w:val="nil"/>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lang w:bidi="ar-SA"/>
              </w:rPr>
            </w:pPr>
          </w:p>
        </w:tc>
        <w:tc>
          <w:tcPr>
            <w:tcW w:w="4915" w:type="dxa"/>
            <w:gridSpan w:val="3"/>
            <w:tcBorders>
              <w:top w:val="nil"/>
              <w:left w:val="nil"/>
              <w:bottom w:val="single" w:sz="4" w:space="0" w:color="auto"/>
              <w:right w:val="nil"/>
            </w:tcBorders>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kwota w zł</w:t>
            </w:r>
            <w:r>
              <w:rPr>
                <w:rFonts w:eastAsia="Times New Roman" w:cs="Times New Roman"/>
                <w:sz w:val="16"/>
                <w:szCs w:val="20"/>
              </w:rPr>
              <w:t>otych</w:t>
            </w:r>
          </w:p>
        </w:tc>
      </w:tr>
      <w:tr>
        <w:tblPrEx>
          <w:tblW w:w="14980" w:type="dxa"/>
          <w:jc w:val="center"/>
          <w:tblInd w:w="185" w:type="dxa"/>
          <w:tblCellMar>
            <w:left w:w="70" w:type="dxa"/>
            <w:right w:w="70" w:type="dxa"/>
          </w:tblCellMar>
          <w:tblLook w:val="04A0"/>
        </w:tblPrEx>
        <w:trPr>
          <w:cantSplit/>
          <w:trHeight w:val="227"/>
          <w:jc w:val="center"/>
        </w:trPr>
        <w:tc>
          <w:tcPr>
            <w:tcW w:w="10065" w:type="dxa"/>
            <w:vMerge w:val="restart"/>
            <w:tcBorders>
              <w:top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lang w:bidi="ar-SA"/>
              </w:rPr>
            </w:pPr>
            <w:r>
              <w:rPr>
                <w:rFonts w:eastAsia="Times New Roman" w:cs="Times New Roman"/>
                <w:b/>
                <w:sz w:val="20"/>
                <w:szCs w:val="20"/>
                <w:lang w:bidi="ar-SA"/>
              </w:rPr>
              <w:t>Nazwa zadania</w:t>
            </w:r>
          </w:p>
        </w:tc>
        <w:tc>
          <w:tcPr>
            <w:tcW w:w="4915" w:type="dxa"/>
            <w:gridSpan w:val="3"/>
            <w:tcBorders>
              <w:top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lang w:bidi="ar-SA"/>
              </w:rPr>
            </w:pPr>
            <w:r>
              <w:rPr>
                <w:rFonts w:eastAsia="Times New Roman" w:cs="Times New Roman"/>
                <w:b/>
                <w:sz w:val="20"/>
                <w:szCs w:val="20"/>
                <w:lang w:bidi="ar-SA"/>
              </w:rPr>
              <w:t>nakłady finansowe, w tym:</w:t>
            </w:r>
          </w:p>
        </w:tc>
      </w:tr>
      <w:tr>
        <w:tblPrEx>
          <w:tblW w:w="14980" w:type="dxa"/>
          <w:jc w:val="center"/>
          <w:tblInd w:w="185" w:type="dxa"/>
          <w:tblCellMar>
            <w:left w:w="70" w:type="dxa"/>
            <w:right w:w="70" w:type="dxa"/>
          </w:tblCellMar>
          <w:tblLook w:val="04A0"/>
        </w:tblPrEx>
        <w:trPr>
          <w:cantSplit/>
          <w:trHeight w:val="227"/>
          <w:jc w:val="center"/>
        </w:trPr>
        <w:tc>
          <w:tcPr>
            <w:tcW w:w="10065" w:type="dxa"/>
            <w:vMerge/>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lang w:bidi="ar-SA"/>
              </w:rPr>
            </w:pPr>
          </w:p>
        </w:tc>
        <w:tc>
          <w:tcPr>
            <w:tcW w:w="1550"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lang w:bidi="ar-SA"/>
              </w:rPr>
            </w:pPr>
            <w:r>
              <w:rPr>
                <w:rFonts w:eastAsia="Times New Roman" w:cs="Times New Roman"/>
                <w:b/>
                <w:sz w:val="20"/>
                <w:szCs w:val="20"/>
                <w:lang w:bidi="ar-SA"/>
              </w:rPr>
              <w:t>budżet miasta</w:t>
            </w:r>
          </w:p>
        </w:tc>
        <w:tc>
          <w:tcPr>
            <w:tcW w:w="1865"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lang w:bidi="ar-SA"/>
              </w:rPr>
            </w:pPr>
            <w:r>
              <w:rPr>
                <w:rFonts w:eastAsia="Times New Roman" w:cs="Times New Roman"/>
                <w:b/>
                <w:sz w:val="20"/>
                <w:szCs w:val="20"/>
                <w:lang w:bidi="ar-SA"/>
              </w:rPr>
              <w:t>środki zewnętrzne</w:t>
            </w:r>
          </w:p>
        </w:tc>
        <w:tc>
          <w:tcPr>
            <w:tcW w:w="1500"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lang w:bidi="ar-SA"/>
              </w:rPr>
            </w:pPr>
            <w:r>
              <w:rPr>
                <w:rFonts w:eastAsia="Times New Roman" w:cs="Times New Roman"/>
                <w:b/>
                <w:sz w:val="20"/>
                <w:szCs w:val="20"/>
                <w:lang w:bidi="ar-SA"/>
              </w:rPr>
              <w:t>ogółem</w:t>
            </w:r>
          </w:p>
        </w:tc>
      </w:tr>
      <w:tr>
        <w:tblPrEx>
          <w:tblW w:w="14980" w:type="dxa"/>
          <w:jc w:val="center"/>
          <w:tblInd w:w="185" w:type="dxa"/>
          <w:tblCellMar>
            <w:left w:w="70" w:type="dxa"/>
            <w:right w:w="70" w:type="dxa"/>
          </w:tblCellMar>
          <w:tblLook w:val="04A0"/>
        </w:tblPrEx>
        <w:trPr>
          <w:cantSplit/>
          <w:trHeight w:val="227"/>
          <w:jc w:val="center"/>
        </w:trPr>
        <w:tc>
          <w:tcPr>
            <w:tcW w:w="10065"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Przebudowa dróg i chodników wraz z infrastrukturą towarzyszącą w części ulic Piłsudskiego, Matejki, Krakowskiej oraz pl. Sobieskiego w Bytomiu</w:t>
            </w:r>
          </w:p>
        </w:tc>
        <w:tc>
          <w:tcPr>
            <w:tcW w:w="1550"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w:t>
            </w:r>
          </w:p>
        </w:tc>
        <w:tc>
          <w:tcPr>
            <w:tcW w:w="1865"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29 999 993</w:t>
            </w:r>
          </w:p>
        </w:tc>
        <w:tc>
          <w:tcPr>
            <w:tcW w:w="1500"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29 999 993</w:t>
            </w:r>
          </w:p>
        </w:tc>
      </w:tr>
      <w:tr>
        <w:tblPrEx>
          <w:tblW w:w="14980" w:type="dxa"/>
          <w:jc w:val="center"/>
          <w:tblInd w:w="185" w:type="dxa"/>
          <w:tblCellMar>
            <w:left w:w="70" w:type="dxa"/>
            <w:right w:w="70" w:type="dxa"/>
          </w:tblCellMar>
          <w:tblLook w:val="04A0"/>
        </w:tblPrEx>
        <w:trPr>
          <w:cantSplit/>
          <w:trHeight w:val="227"/>
          <w:jc w:val="center"/>
        </w:trPr>
        <w:tc>
          <w:tcPr>
            <w:tcW w:w="10065"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Rozwój energetyki rozproszonej opartej o odnawialne źródła energii na terenie Gminy Bytom i Radzionków</w:t>
            </w:r>
          </w:p>
        </w:tc>
        <w:tc>
          <w:tcPr>
            <w:tcW w:w="1550"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w:t>
            </w:r>
          </w:p>
        </w:tc>
        <w:tc>
          <w:tcPr>
            <w:tcW w:w="1865"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11 379 360</w:t>
            </w:r>
          </w:p>
        </w:tc>
        <w:tc>
          <w:tcPr>
            <w:tcW w:w="1500"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11 379 360</w:t>
            </w:r>
          </w:p>
        </w:tc>
      </w:tr>
      <w:tr>
        <w:tblPrEx>
          <w:tblW w:w="14980" w:type="dxa"/>
          <w:jc w:val="center"/>
          <w:tblInd w:w="185" w:type="dxa"/>
          <w:tblCellMar>
            <w:left w:w="70" w:type="dxa"/>
            <w:right w:w="70" w:type="dxa"/>
          </w:tblCellMar>
          <w:tblLook w:val="04A0"/>
        </w:tblPrEx>
        <w:trPr>
          <w:cantSplit/>
          <w:trHeight w:val="227"/>
          <w:jc w:val="center"/>
        </w:trPr>
        <w:tc>
          <w:tcPr>
            <w:tcW w:w="10065"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Przebudowa ul. Cyryla i Metodego – etap I (Polski Ład Edycja 8)</w:t>
            </w:r>
          </w:p>
        </w:tc>
        <w:tc>
          <w:tcPr>
            <w:tcW w:w="1550"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22 201</w:t>
            </w:r>
          </w:p>
        </w:tc>
        <w:tc>
          <w:tcPr>
            <w:tcW w:w="1865"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9 377 992</w:t>
            </w:r>
          </w:p>
        </w:tc>
        <w:tc>
          <w:tcPr>
            <w:tcW w:w="1500"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9 400 193</w:t>
            </w:r>
          </w:p>
        </w:tc>
      </w:tr>
      <w:tr>
        <w:tblPrEx>
          <w:tblW w:w="14980" w:type="dxa"/>
          <w:jc w:val="center"/>
          <w:tblInd w:w="185" w:type="dxa"/>
          <w:tblCellMar>
            <w:left w:w="70" w:type="dxa"/>
            <w:right w:w="70" w:type="dxa"/>
          </w:tblCellMar>
          <w:tblLook w:val="04A0"/>
        </w:tblPrEx>
        <w:trPr>
          <w:cantSplit/>
          <w:trHeight w:val="227"/>
          <w:jc w:val="center"/>
        </w:trPr>
        <w:tc>
          <w:tcPr>
            <w:tcW w:w="10065"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Przebudowa ulicy Frycza-Modrzewskiego (RFIL)</w:t>
            </w:r>
          </w:p>
        </w:tc>
        <w:tc>
          <w:tcPr>
            <w:tcW w:w="1550"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w:t>
            </w:r>
          </w:p>
        </w:tc>
        <w:tc>
          <w:tcPr>
            <w:tcW w:w="1865"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8 707 225</w:t>
            </w:r>
          </w:p>
        </w:tc>
        <w:tc>
          <w:tcPr>
            <w:tcW w:w="1500"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8 707 225</w:t>
            </w:r>
          </w:p>
        </w:tc>
      </w:tr>
      <w:tr>
        <w:tblPrEx>
          <w:tblW w:w="14980" w:type="dxa"/>
          <w:jc w:val="center"/>
          <w:tblInd w:w="185" w:type="dxa"/>
          <w:tblCellMar>
            <w:left w:w="70" w:type="dxa"/>
            <w:right w:w="70" w:type="dxa"/>
          </w:tblCellMar>
          <w:tblLook w:val="04A0"/>
        </w:tblPrEx>
        <w:trPr>
          <w:cantSplit/>
          <w:trHeight w:val="227"/>
          <w:jc w:val="center"/>
        </w:trPr>
        <w:tc>
          <w:tcPr>
            <w:tcW w:w="10065"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Budowa drogi na ulicy Wiejskiej – etap I</w:t>
            </w:r>
          </w:p>
        </w:tc>
        <w:tc>
          <w:tcPr>
            <w:tcW w:w="1550"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147 017</w:t>
            </w:r>
          </w:p>
        </w:tc>
        <w:tc>
          <w:tcPr>
            <w:tcW w:w="1865"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7 963 355</w:t>
            </w:r>
          </w:p>
        </w:tc>
        <w:tc>
          <w:tcPr>
            <w:tcW w:w="1500"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8 110 372</w:t>
            </w:r>
          </w:p>
        </w:tc>
      </w:tr>
      <w:tr>
        <w:tblPrEx>
          <w:tblW w:w="14980" w:type="dxa"/>
          <w:jc w:val="center"/>
          <w:tblInd w:w="185" w:type="dxa"/>
          <w:tblCellMar>
            <w:left w:w="70" w:type="dxa"/>
            <w:right w:w="70" w:type="dxa"/>
          </w:tblCellMar>
          <w:tblLook w:val="04A0"/>
        </w:tblPrEx>
        <w:trPr>
          <w:cantSplit/>
          <w:trHeight w:val="227"/>
          <w:jc w:val="center"/>
        </w:trPr>
        <w:tc>
          <w:tcPr>
            <w:tcW w:w="10065"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Adaptacja budynku przy ul. Jana Smolenia 20 w Bytomiu na potrzeby przedszkola miejskiego oraz oddziału żłobkowego (Polski Ład, KPO)</w:t>
            </w:r>
          </w:p>
        </w:tc>
        <w:tc>
          <w:tcPr>
            <w:tcW w:w="1550"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156 167</w:t>
            </w:r>
          </w:p>
        </w:tc>
        <w:tc>
          <w:tcPr>
            <w:tcW w:w="1865"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8 850 569</w:t>
            </w:r>
          </w:p>
        </w:tc>
        <w:tc>
          <w:tcPr>
            <w:tcW w:w="1500"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9 006 736</w:t>
            </w:r>
          </w:p>
        </w:tc>
      </w:tr>
      <w:tr>
        <w:tblPrEx>
          <w:tblW w:w="14980" w:type="dxa"/>
          <w:jc w:val="center"/>
          <w:tblInd w:w="185" w:type="dxa"/>
          <w:tblCellMar>
            <w:left w:w="70" w:type="dxa"/>
            <w:right w:w="70" w:type="dxa"/>
          </w:tblCellMar>
          <w:tblLook w:val="04A0"/>
        </w:tblPrEx>
        <w:trPr>
          <w:cantSplit/>
          <w:trHeight w:val="227"/>
          <w:jc w:val="center"/>
        </w:trPr>
        <w:tc>
          <w:tcPr>
            <w:tcW w:w="10065"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Modernizacja energetyczna budynku Szkoły Podstawowej nr 6 przy ul. Królowej Jadwigi w Bytomiu</w:t>
            </w:r>
          </w:p>
        </w:tc>
        <w:tc>
          <w:tcPr>
            <w:tcW w:w="1550"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745 838</w:t>
            </w:r>
          </w:p>
        </w:tc>
        <w:tc>
          <w:tcPr>
            <w:tcW w:w="1865"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4 226 325</w:t>
            </w:r>
          </w:p>
        </w:tc>
        <w:tc>
          <w:tcPr>
            <w:tcW w:w="1500"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4 972 163</w:t>
            </w:r>
          </w:p>
        </w:tc>
      </w:tr>
      <w:tr>
        <w:tblPrEx>
          <w:tblW w:w="14980" w:type="dxa"/>
          <w:jc w:val="center"/>
          <w:tblInd w:w="185" w:type="dxa"/>
          <w:tblCellMar>
            <w:left w:w="70" w:type="dxa"/>
            <w:right w:w="70" w:type="dxa"/>
          </w:tblCellMar>
          <w:tblLook w:val="04A0"/>
        </w:tblPrEx>
        <w:trPr>
          <w:cantSplit/>
          <w:trHeight w:val="227"/>
          <w:jc w:val="center"/>
        </w:trPr>
        <w:tc>
          <w:tcPr>
            <w:tcW w:w="10065"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Budowa dróg i odwodnienia na części działki o nr geod. 1809/18 w Bytomiu (Polski Ład Edycja 8)</w:t>
            </w:r>
          </w:p>
        </w:tc>
        <w:tc>
          <w:tcPr>
            <w:tcW w:w="1550"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w:t>
            </w:r>
          </w:p>
        </w:tc>
        <w:tc>
          <w:tcPr>
            <w:tcW w:w="1865"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4 583 461</w:t>
            </w:r>
          </w:p>
        </w:tc>
        <w:tc>
          <w:tcPr>
            <w:tcW w:w="1500"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4 583 461</w:t>
            </w:r>
          </w:p>
        </w:tc>
      </w:tr>
      <w:tr>
        <w:tblPrEx>
          <w:tblW w:w="14980" w:type="dxa"/>
          <w:jc w:val="center"/>
          <w:tblInd w:w="185" w:type="dxa"/>
          <w:tblCellMar>
            <w:left w:w="70" w:type="dxa"/>
            <w:right w:w="70" w:type="dxa"/>
          </w:tblCellMar>
          <w:tblLook w:val="04A0"/>
        </w:tblPrEx>
        <w:trPr>
          <w:cantSplit/>
          <w:trHeight w:val="227"/>
          <w:jc w:val="center"/>
        </w:trPr>
        <w:tc>
          <w:tcPr>
            <w:tcW w:w="10065"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Modernizacja i doposażenie pracowni – podniesienie jakości kształcenia zawodowego w Bytomiu</w:t>
            </w:r>
          </w:p>
        </w:tc>
        <w:tc>
          <w:tcPr>
            <w:tcW w:w="1550"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845 831</w:t>
            </w:r>
          </w:p>
        </w:tc>
        <w:tc>
          <w:tcPr>
            <w:tcW w:w="1865"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4 401 171</w:t>
            </w:r>
          </w:p>
        </w:tc>
        <w:tc>
          <w:tcPr>
            <w:tcW w:w="1500"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5 247 002</w:t>
            </w:r>
          </w:p>
        </w:tc>
      </w:tr>
      <w:tr>
        <w:tblPrEx>
          <w:tblW w:w="14980" w:type="dxa"/>
          <w:jc w:val="center"/>
          <w:tblInd w:w="185" w:type="dxa"/>
          <w:tblCellMar>
            <w:left w:w="70" w:type="dxa"/>
            <w:right w:w="70" w:type="dxa"/>
          </w:tblCellMar>
          <w:tblLook w:val="04A0"/>
        </w:tblPrEx>
        <w:trPr>
          <w:cantSplit/>
          <w:trHeight w:val="227"/>
          <w:jc w:val="center"/>
        </w:trPr>
        <w:tc>
          <w:tcPr>
            <w:tcW w:w="10065"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Modernizacja energetyczna budynków przedszkoli miejskich w Bytomiu (Przedszkole Miejskiej nr 36, Przedszkole Miejskie nr 51 i Przedszkole Miejskie nr 52)</w:t>
            </w:r>
          </w:p>
        </w:tc>
        <w:tc>
          <w:tcPr>
            <w:tcW w:w="1550"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595 523</w:t>
            </w:r>
          </w:p>
        </w:tc>
        <w:tc>
          <w:tcPr>
            <w:tcW w:w="1865"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3 374 628</w:t>
            </w:r>
          </w:p>
        </w:tc>
        <w:tc>
          <w:tcPr>
            <w:tcW w:w="1500"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3 970 151</w:t>
            </w:r>
          </w:p>
        </w:tc>
      </w:tr>
      <w:tr>
        <w:tblPrEx>
          <w:tblW w:w="14980" w:type="dxa"/>
          <w:jc w:val="center"/>
          <w:tblInd w:w="185" w:type="dxa"/>
          <w:tblCellMar>
            <w:left w:w="70" w:type="dxa"/>
            <w:right w:w="70" w:type="dxa"/>
          </w:tblCellMar>
          <w:tblLook w:val="04A0"/>
        </w:tblPrEx>
        <w:trPr>
          <w:cantSplit/>
          <w:trHeight w:val="227"/>
          <w:jc w:val="center"/>
        </w:trPr>
        <w:tc>
          <w:tcPr>
            <w:tcW w:w="10065"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Remont i poprawa stanu technicznego budynku Bytomskiego Centrum Kultury oraz zakup wyposażenia</w:t>
            </w:r>
          </w:p>
        </w:tc>
        <w:tc>
          <w:tcPr>
            <w:tcW w:w="1550"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3 683 384</w:t>
            </w:r>
          </w:p>
        </w:tc>
        <w:tc>
          <w:tcPr>
            <w:tcW w:w="1865"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w:t>
            </w:r>
          </w:p>
        </w:tc>
        <w:tc>
          <w:tcPr>
            <w:tcW w:w="1500"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3 683 384</w:t>
            </w:r>
          </w:p>
        </w:tc>
      </w:tr>
      <w:tr>
        <w:tblPrEx>
          <w:tblW w:w="14980" w:type="dxa"/>
          <w:jc w:val="center"/>
          <w:tblInd w:w="185" w:type="dxa"/>
          <w:tblCellMar>
            <w:left w:w="70" w:type="dxa"/>
            <w:right w:w="70" w:type="dxa"/>
          </w:tblCellMar>
          <w:tblLook w:val="04A0"/>
        </w:tblPrEx>
        <w:trPr>
          <w:cantSplit/>
          <w:trHeight w:val="227"/>
          <w:jc w:val="center"/>
        </w:trPr>
        <w:tc>
          <w:tcPr>
            <w:tcW w:w="10065"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Budowa regionalnych tras rowerowych w Bytomiu – etap I</w:t>
            </w:r>
          </w:p>
        </w:tc>
        <w:tc>
          <w:tcPr>
            <w:tcW w:w="1550"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608 151</w:t>
            </w:r>
          </w:p>
        </w:tc>
        <w:tc>
          <w:tcPr>
            <w:tcW w:w="1865"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2 990 655</w:t>
            </w:r>
          </w:p>
        </w:tc>
        <w:tc>
          <w:tcPr>
            <w:tcW w:w="1500"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3 598 806</w:t>
            </w:r>
          </w:p>
        </w:tc>
      </w:tr>
      <w:tr>
        <w:tblPrEx>
          <w:tblW w:w="14980" w:type="dxa"/>
          <w:jc w:val="center"/>
          <w:tblInd w:w="185" w:type="dxa"/>
          <w:tblCellMar>
            <w:left w:w="70" w:type="dxa"/>
            <w:right w:w="70" w:type="dxa"/>
          </w:tblCellMar>
          <w:tblLook w:val="04A0"/>
        </w:tblPrEx>
        <w:trPr>
          <w:cantSplit/>
          <w:trHeight w:val="227"/>
          <w:jc w:val="center"/>
        </w:trPr>
        <w:tc>
          <w:tcPr>
            <w:tcW w:w="10065"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Modernizacja energetyczna budynku przy ul. Smolenia 20 w Bytomiu</w:t>
            </w:r>
          </w:p>
        </w:tc>
        <w:tc>
          <w:tcPr>
            <w:tcW w:w="1550"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696 263</w:t>
            </w:r>
          </w:p>
        </w:tc>
        <w:tc>
          <w:tcPr>
            <w:tcW w:w="1865"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3 945 476</w:t>
            </w:r>
          </w:p>
        </w:tc>
        <w:tc>
          <w:tcPr>
            <w:tcW w:w="1500"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4 641 739</w:t>
            </w:r>
          </w:p>
        </w:tc>
      </w:tr>
      <w:tr>
        <w:tblPrEx>
          <w:tblW w:w="14980" w:type="dxa"/>
          <w:jc w:val="center"/>
          <w:tblInd w:w="185" w:type="dxa"/>
          <w:tblCellMar>
            <w:left w:w="70" w:type="dxa"/>
            <w:right w:w="70" w:type="dxa"/>
          </w:tblCellMar>
          <w:tblLook w:val="04A0"/>
        </w:tblPrEx>
        <w:trPr>
          <w:cantSplit/>
          <w:trHeight w:val="227"/>
          <w:jc w:val="center"/>
        </w:trPr>
        <w:tc>
          <w:tcPr>
            <w:tcW w:w="10065"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Budowa centrum przesiadkowego na terenie Gminy Bytom - Stroszek</w:t>
            </w:r>
          </w:p>
        </w:tc>
        <w:tc>
          <w:tcPr>
            <w:tcW w:w="1550"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745 991</w:t>
            </w:r>
          </w:p>
        </w:tc>
        <w:tc>
          <w:tcPr>
            <w:tcW w:w="1865"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2 542 164</w:t>
            </w:r>
          </w:p>
        </w:tc>
        <w:tc>
          <w:tcPr>
            <w:tcW w:w="1500"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3 288 155</w:t>
            </w:r>
          </w:p>
        </w:tc>
      </w:tr>
      <w:tr>
        <w:tblPrEx>
          <w:tblW w:w="14980" w:type="dxa"/>
          <w:jc w:val="center"/>
          <w:tblInd w:w="185" w:type="dxa"/>
          <w:tblCellMar>
            <w:left w:w="70" w:type="dxa"/>
            <w:right w:w="70" w:type="dxa"/>
          </w:tblCellMar>
          <w:tblLook w:val="04A0"/>
        </w:tblPrEx>
        <w:trPr>
          <w:cantSplit/>
          <w:trHeight w:val="227"/>
          <w:jc w:val="center"/>
        </w:trPr>
        <w:tc>
          <w:tcPr>
            <w:tcW w:w="10065"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Termomodernizacje budynków placówek oświatowych w Bytomiu</w:t>
            </w:r>
          </w:p>
        </w:tc>
        <w:tc>
          <w:tcPr>
            <w:tcW w:w="1550"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3 281 134</w:t>
            </w:r>
          </w:p>
        </w:tc>
        <w:tc>
          <w:tcPr>
            <w:tcW w:w="1865"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w:t>
            </w:r>
          </w:p>
        </w:tc>
        <w:tc>
          <w:tcPr>
            <w:tcW w:w="1500"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3 281 134</w:t>
            </w:r>
          </w:p>
        </w:tc>
      </w:tr>
      <w:tr>
        <w:tblPrEx>
          <w:tblW w:w="14980" w:type="dxa"/>
          <w:jc w:val="center"/>
          <w:tblInd w:w="185" w:type="dxa"/>
          <w:tblCellMar>
            <w:left w:w="70" w:type="dxa"/>
            <w:right w:w="70" w:type="dxa"/>
          </w:tblCellMar>
          <w:tblLook w:val="04A0"/>
        </w:tblPrEx>
        <w:trPr>
          <w:cantSplit/>
          <w:trHeight w:val="227"/>
          <w:jc w:val="center"/>
        </w:trPr>
        <w:tc>
          <w:tcPr>
            <w:tcW w:w="10065"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Modernizacja energetyczna budynków Przedszkola Miejskiego nr 24 i Przedszkola Miejskiego nr 44</w:t>
            </w:r>
          </w:p>
        </w:tc>
        <w:tc>
          <w:tcPr>
            <w:tcW w:w="1550"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401 350</w:t>
            </w:r>
          </w:p>
        </w:tc>
        <w:tc>
          <w:tcPr>
            <w:tcW w:w="1865"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2 274 314</w:t>
            </w:r>
          </w:p>
        </w:tc>
        <w:tc>
          <w:tcPr>
            <w:tcW w:w="1500"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2 675 664</w:t>
            </w:r>
          </w:p>
        </w:tc>
      </w:tr>
      <w:tr>
        <w:tblPrEx>
          <w:tblW w:w="14980" w:type="dxa"/>
          <w:jc w:val="center"/>
          <w:tblInd w:w="185" w:type="dxa"/>
          <w:tblCellMar>
            <w:left w:w="70" w:type="dxa"/>
            <w:right w:w="70" w:type="dxa"/>
          </w:tblCellMar>
          <w:tblLook w:val="04A0"/>
        </w:tblPrEx>
        <w:trPr>
          <w:cantSplit/>
          <w:trHeight w:val="227"/>
          <w:jc w:val="center"/>
        </w:trPr>
        <w:tc>
          <w:tcPr>
            <w:tcW w:w="10065"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Budowa i przebudowa kanalizacji deszczowej w ul. Nickla i Relaksowej (Frenzla) (Polski Ład Edycja 2)</w:t>
            </w:r>
          </w:p>
        </w:tc>
        <w:tc>
          <w:tcPr>
            <w:tcW w:w="1550"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w:t>
            </w:r>
          </w:p>
        </w:tc>
        <w:tc>
          <w:tcPr>
            <w:tcW w:w="1865"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2 559 905</w:t>
            </w:r>
          </w:p>
        </w:tc>
        <w:tc>
          <w:tcPr>
            <w:tcW w:w="1500"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2 559 905</w:t>
            </w:r>
          </w:p>
        </w:tc>
      </w:tr>
      <w:tr>
        <w:tblPrEx>
          <w:tblW w:w="14980" w:type="dxa"/>
          <w:jc w:val="center"/>
          <w:tblInd w:w="185" w:type="dxa"/>
          <w:tblCellMar>
            <w:left w:w="70" w:type="dxa"/>
            <w:right w:w="70" w:type="dxa"/>
          </w:tblCellMar>
          <w:tblLook w:val="04A0"/>
        </w:tblPrEx>
        <w:trPr>
          <w:cantSplit/>
          <w:trHeight w:val="227"/>
          <w:jc w:val="center"/>
        </w:trPr>
        <w:tc>
          <w:tcPr>
            <w:tcW w:w="10065"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Modernizacja źródeł ciepła w lokalach w ramach: Programu Ciepłe Mieszkanie w Gminie Bytom rok 2022</w:t>
            </w:r>
          </w:p>
        </w:tc>
        <w:tc>
          <w:tcPr>
            <w:tcW w:w="1550"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w:t>
            </w:r>
          </w:p>
        </w:tc>
        <w:tc>
          <w:tcPr>
            <w:tcW w:w="1865"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1 953 924</w:t>
            </w:r>
          </w:p>
        </w:tc>
        <w:tc>
          <w:tcPr>
            <w:tcW w:w="1500"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1 953 924</w:t>
            </w:r>
          </w:p>
        </w:tc>
      </w:tr>
      <w:tr>
        <w:tblPrEx>
          <w:tblW w:w="14980" w:type="dxa"/>
          <w:jc w:val="center"/>
          <w:tblInd w:w="185" w:type="dxa"/>
          <w:tblCellMar>
            <w:left w:w="70" w:type="dxa"/>
            <w:right w:w="70" w:type="dxa"/>
          </w:tblCellMar>
          <w:tblLook w:val="04A0"/>
        </w:tblPrEx>
        <w:trPr>
          <w:cantSplit/>
          <w:trHeight w:val="227"/>
          <w:jc w:val="center"/>
        </w:trPr>
        <w:tc>
          <w:tcPr>
            <w:tcW w:w="10065"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Mobilna Metropolia – Budowa Centrów Przesiadkowych na terenie gminy Bytom</w:t>
            </w:r>
          </w:p>
        </w:tc>
        <w:tc>
          <w:tcPr>
            <w:tcW w:w="1550"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1 769 868</w:t>
            </w:r>
          </w:p>
        </w:tc>
        <w:tc>
          <w:tcPr>
            <w:tcW w:w="1865"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w:t>
            </w:r>
          </w:p>
        </w:tc>
        <w:tc>
          <w:tcPr>
            <w:tcW w:w="1500"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1 769 868</w:t>
            </w:r>
          </w:p>
        </w:tc>
      </w:tr>
      <w:tr>
        <w:tblPrEx>
          <w:tblW w:w="14980" w:type="dxa"/>
          <w:jc w:val="center"/>
          <w:tblInd w:w="185" w:type="dxa"/>
          <w:tblCellMar>
            <w:left w:w="70" w:type="dxa"/>
            <w:right w:w="70" w:type="dxa"/>
          </w:tblCellMar>
          <w:tblLook w:val="04A0"/>
        </w:tblPrEx>
        <w:trPr>
          <w:cantSplit/>
          <w:trHeight w:val="227"/>
          <w:jc w:val="center"/>
        </w:trPr>
        <w:tc>
          <w:tcPr>
            <w:tcW w:w="10065"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Dotacja celowa z Rządowego Programu Odbudowy Zabytków na realizację zadania inwestycyjnego pn. „Renowacja zabytkowego kościoła św. Wojciecha w Bytomiu, pl. Klasztorny 1”</w:t>
            </w:r>
          </w:p>
        </w:tc>
        <w:tc>
          <w:tcPr>
            <w:tcW w:w="1550"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w:t>
            </w:r>
          </w:p>
        </w:tc>
        <w:tc>
          <w:tcPr>
            <w:tcW w:w="1865"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1 757 653</w:t>
            </w:r>
          </w:p>
        </w:tc>
        <w:tc>
          <w:tcPr>
            <w:tcW w:w="1500"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1 757 653</w:t>
            </w:r>
          </w:p>
        </w:tc>
      </w:tr>
      <w:tr>
        <w:tblPrEx>
          <w:tblW w:w="14980" w:type="dxa"/>
          <w:jc w:val="center"/>
          <w:tblInd w:w="185" w:type="dxa"/>
          <w:tblCellMar>
            <w:left w:w="70" w:type="dxa"/>
            <w:right w:w="70" w:type="dxa"/>
          </w:tblCellMar>
          <w:tblLook w:val="04A0"/>
        </w:tblPrEx>
        <w:trPr>
          <w:cantSplit/>
          <w:trHeight w:val="227"/>
          <w:jc w:val="center"/>
        </w:trPr>
        <w:tc>
          <w:tcPr>
            <w:tcW w:w="10065"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Poprawa efektywności energetycznej w budynkach wielorodzinnych na terenie Górnośląsko-Zagłębiowskiej Metropolii</w:t>
            </w:r>
          </w:p>
        </w:tc>
        <w:tc>
          <w:tcPr>
            <w:tcW w:w="1550"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1 552 491</w:t>
            </w:r>
          </w:p>
        </w:tc>
        <w:tc>
          <w:tcPr>
            <w:tcW w:w="1865"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w:t>
            </w:r>
          </w:p>
        </w:tc>
        <w:tc>
          <w:tcPr>
            <w:tcW w:w="1500"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1 552 491</w:t>
            </w:r>
          </w:p>
        </w:tc>
      </w:tr>
      <w:tr>
        <w:tblPrEx>
          <w:tblW w:w="14980" w:type="dxa"/>
          <w:jc w:val="center"/>
          <w:tblInd w:w="185" w:type="dxa"/>
          <w:tblCellMar>
            <w:left w:w="70" w:type="dxa"/>
            <w:right w:w="70" w:type="dxa"/>
          </w:tblCellMar>
          <w:tblLook w:val="04A0"/>
        </w:tblPrEx>
        <w:trPr>
          <w:cantSplit/>
          <w:trHeight w:val="227"/>
          <w:jc w:val="center"/>
        </w:trPr>
        <w:tc>
          <w:tcPr>
            <w:tcW w:w="10065"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Program Kolej+</w:t>
            </w:r>
          </w:p>
        </w:tc>
        <w:tc>
          <w:tcPr>
            <w:tcW w:w="1550"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w:t>
            </w:r>
          </w:p>
        </w:tc>
        <w:tc>
          <w:tcPr>
            <w:tcW w:w="1865"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1 061 988</w:t>
            </w:r>
          </w:p>
        </w:tc>
        <w:tc>
          <w:tcPr>
            <w:tcW w:w="1500"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1 061 988</w:t>
            </w:r>
          </w:p>
        </w:tc>
      </w:tr>
      <w:tr>
        <w:tblPrEx>
          <w:tblW w:w="14980" w:type="dxa"/>
          <w:jc w:val="center"/>
          <w:tblInd w:w="185" w:type="dxa"/>
          <w:tblCellMar>
            <w:left w:w="70" w:type="dxa"/>
            <w:right w:w="70" w:type="dxa"/>
          </w:tblCellMar>
          <w:tblLook w:val="04A0"/>
        </w:tblPrEx>
        <w:trPr>
          <w:cantSplit/>
          <w:trHeight w:val="227"/>
          <w:jc w:val="center"/>
        </w:trPr>
        <w:tc>
          <w:tcPr>
            <w:tcW w:w="10065"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Czyszczenie, naprawa i hydrofobizacja ścian i mansard budynku Szkoły Podstawowej nr 6 przy ul. Królowej Jadwigi 2 w Bytomiu (Polski Ład)</w:t>
            </w:r>
          </w:p>
        </w:tc>
        <w:tc>
          <w:tcPr>
            <w:tcW w:w="1550"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w:t>
            </w:r>
          </w:p>
        </w:tc>
        <w:tc>
          <w:tcPr>
            <w:tcW w:w="1865"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983 400</w:t>
            </w:r>
          </w:p>
        </w:tc>
        <w:tc>
          <w:tcPr>
            <w:tcW w:w="1500"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983 400</w:t>
            </w:r>
          </w:p>
        </w:tc>
      </w:tr>
      <w:tr>
        <w:tblPrEx>
          <w:tblW w:w="14980" w:type="dxa"/>
          <w:jc w:val="center"/>
          <w:tblInd w:w="185" w:type="dxa"/>
          <w:tblCellMar>
            <w:left w:w="70" w:type="dxa"/>
            <w:right w:w="70" w:type="dxa"/>
          </w:tblCellMar>
          <w:tblLook w:val="04A0"/>
        </w:tblPrEx>
        <w:trPr>
          <w:cantSplit/>
          <w:trHeight w:val="227"/>
          <w:jc w:val="center"/>
        </w:trPr>
        <w:tc>
          <w:tcPr>
            <w:tcW w:w="10065" w:type="dxa"/>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Utworzenie Żłobka Miejskiego nr 3 w budynku przy ul. Strzelców Bytomskich 248 w Bytomiu (KPO)</w:t>
            </w:r>
          </w:p>
        </w:tc>
        <w:tc>
          <w:tcPr>
            <w:tcW w:w="1550"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w:t>
            </w:r>
          </w:p>
        </w:tc>
        <w:tc>
          <w:tcPr>
            <w:tcW w:w="1865"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849 114</w:t>
            </w:r>
          </w:p>
        </w:tc>
        <w:tc>
          <w:tcPr>
            <w:tcW w:w="1500" w:type="dxa"/>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849 114</w:t>
            </w:r>
          </w:p>
        </w:tc>
      </w:tr>
    </w:tbl>
    <w:p>
      <w:pPr>
        <w:keepNext w:val="0"/>
        <w:keepLines w:val="0"/>
        <w:widowControl/>
        <w:suppressLineNumbers w:val="0"/>
        <w:shd w:val="clear" w:color="auto" w:fill="auto"/>
        <w:suppressAutoHyphens w:val="0"/>
        <w:spacing w:before="24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 xml:space="preserve">Miasto zamierza kontynuować realizację rozpoczętych już działań inwestycyjnych, ujętych w wykazie przedsięwzięć inwestycyjnych oraz realizować zadania wykorzystując środki z Krajowego Planu Odbudowy, budżetu państwa, Górnośląsko-Zagłębiowskiej Metropolii i pozyskane środki europejskie. </w:t>
      </w:r>
    </w:p>
    <w:p>
      <w:pPr>
        <w:keepNext w:val="0"/>
        <w:keepLines w:val="0"/>
        <w:widowControl/>
        <w:suppressLineNumbers w:val="0"/>
        <w:shd w:val="clear" w:color="auto" w:fill="auto"/>
        <w:suppressAutoHyphens w:val="0"/>
        <w:spacing w:before="120" w:beforeAutospacing="0" w:after="240" w:afterAutospacing="0" w:line="240" w:lineRule="auto"/>
        <w:ind w:left="0" w:right="0" w:firstLine="0"/>
        <w:contextualSpacing w:val="0"/>
        <w:rPr>
          <w:rFonts w:eastAsia="Times New Roman" w:cs="Times New Roman"/>
          <w:b/>
          <w:szCs w:val="20"/>
          <w:lang w:bidi="ar-SA"/>
        </w:rPr>
      </w:pPr>
      <w:r>
        <w:rPr>
          <w:rFonts w:eastAsia="Times New Roman" w:cs="Times New Roman"/>
          <w:b/>
          <w:szCs w:val="20"/>
          <w:lang w:bidi="ar-SA"/>
        </w:rPr>
        <w:t>3. WYNIK BUDŻETU</w:t>
      </w:r>
    </w:p>
    <w:p>
      <w:pPr>
        <w:keepNext w:val="0"/>
        <w:keepLines w:val="0"/>
        <w:widowControl/>
        <w:suppressLineNumbers w:val="0"/>
        <w:shd w:val="clear" w:color="auto" w:fill="auto"/>
        <w:suppressAutoHyphens w:val="0"/>
        <w:spacing w:before="0" w:beforeAutospacing="0" w:after="120" w:afterAutospacing="0" w:line="240" w:lineRule="auto"/>
        <w:ind w:left="0" w:right="0" w:firstLine="0"/>
        <w:contextualSpacing w:val="0"/>
        <w:rPr>
          <w:rFonts w:eastAsia="Times New Roman" w:cs="Times New Roman"/>
          <w:szCs w:val="20"/>
          <w:lang w:bidi="ar-SA"/>
        </w:rPr>
      </w:pPr>
      <w:r>
        <w:rPr>
          <w:rFonts w:eastAsia="Times New Roman" w:cs="Times New Roman"/>
          <w:szCs w:val="20"/>
          <w:lang w:bidi="ar-SA"/>
        </w:rPr>
        <w:t>W 2026 roku wynik budżetu jest liczbą ujemną i wynosi 83 259 131 zł. Deficyt spowodowany jest niższymi planowanymi dochodami budżetu, które zostały przyznane miastu w efekcie stosowania przepisów ustawy o dochodach jednostek samorządu terytorialnego, w stosunku do utrzymującego się poziomu wydatków miasta.</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W latach kolejnych, przyjmując powyższe założenia, planuje się osiąganie wartości dodatnich wyników budżetu, które będą przeznaczane na spłatę wcześniej zaciąganych kredytów i pożyczek oraz wykup wyemitowanych papierów wartościowych.</w:t>
      </w:r>
    </w:p>
    <w:p>
      <w:pPr>
        <w:keepNext w:val="0"/>
        <w:keepLines w:val="0"/>
        <w:widowControl/>
        <w:suppressLineNumbers w:val="0"/>
        <w:shd w:val="clear" w:color="auto" w:fill="auto"/>
        <w:tabs>
          <w:tab w:val="left" w:pos="360"/>
        </w:tabs>
        <w:suppressAutoHyphens w:val="0"/>
        <w:spacing w:before="120" w:beforeAutospacing="0" w:after="240" w:afterAutospacing="0" w:line="240" w:lineRule="auto"/>
        <w:ind w:left="0" w:right="0" w:firstLine="0"/>
        <w:contextualSpacing w:val="0"/>
        <w:rPr>
          <w:rFonts w:eastAsia="Times New Roman" w:cs="Times New Roman"/>
          <w:b/>
          <w:szCs w:val="20"/>
          <w:lang w:bidi="ar-SA"/>
        </w:rPr>
      </w:pPr>
      <w:r>
        <w:rPr>
          <w:rFonts w:eastAsia="Times New Roman" w:cs="Times New Roman"/>
          <w:b/>
          <w:szCs w:val="20"/>
          <w:lang w:bidi="ar-SA"/>
        </w:rPr>
        <w:t>4. PRZYCHODY BUDŻETU</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W 2026 roku zaplanowano przychody w kwocie 116 495 579 zł, pochodzące z:</w:t>
      </w:r>
    </w:p>
    <w:p>
      <w:pPr>
        <w:keepNext w:val="0"/>
        <w:keepLines w:val="0"/>
        <w:widowControl/>
        <w:numPr>
          <w:ilvl w:val="0"/>
          <w:numId w:val="10"/>
        </w:numPr>
        <w:suppressLineNumbers w:val="0"/>
        <w:shd w:val="clear" w:color="auto" w:fill="auto"/>
        <w:suppressAutoHyphens w:val="0"/>
        <w:spacing w:before="0" w:beforeAutospacing="0" w:after="0" w:afterAutospacing="0" w:line="240" w:lineRule="auto"/>
        <w:ind w:left="340" w:right="0" w:hanging="340"/>
        <w:contextualSpacing w:val="0"/>
        <w:jc w:val="both"/>
        <w:rPr>
          <w:rFonts w:eastAsia="Times New Roman" w:cs="Times New Roman"/>
          <w:szCs w:val="20"/>
          <w:lang w:bidi="ar-SA"/>
        </w:rPr>
      </w:pPr>
      <w:r>
        <w:rPr>
          <w:rFonts w:eastAsia="Times New Roman" w:cs="Times New Roman"/>
          <w:szCs w:val="20"/>
          <w:lang w:bidi="ar-SA"/>
        </w:rPr>
        <w:t>niewykorzystanych środków pieniężnych na rachunku bieżącym budżetu w łącznej kwocie 11 539 483 zł, wynikających z rozliczenia dochodów i wydatków przeznaczonych na finansowanie ze środków Rządowego Funduszu Inwestycji Lokalnych oraz odsetek przeznaczonych na realizację zadań inwestycyjnych pn.:</w:t>
      </w:r>
    </w:p>
    <w:p>
      <w:pPr>
        <w:keepNext w:val="0"/>
        <w:keepLines w:val="0"/>
        <w:widowControl/>
        <w:numPr>
          <w:ilvl w:val="1"/>
          <w:numId w:val="11"/>
        </w:numPr>
        <w:suppressLineNumbers w:val="0"/>
        <w:shd w:val="clear" w:color="auto" w:fill="auto"/>
        <w:suppressAutoHyphens w:val="0"/>
        <w:spacing w:before="0" w:beforeAutospacing="0" w:after="0" w:afterAutospacing="0" w:line="240" w:lineRule="auto"/>
        <w:ind w:left="680" w:right="0" w:hanging="340"/>
        <w:contextualSpacing w:val="0"/>
        <w:jc w:val="both"/>
        <w:rPr>
          <w:rFonts w:eastAsia="Times New Roman" w:cs="Times New Roman"/>
          <w:szCs w:val="20"/>
          <w:lang w:bidi="ar-SA"/>
        </w:rPr>
      </w:pPr>
      <w:r>
        <w:rPr>
          <w:rFonts w:eastAsia="Times New Roman" w:cs="Times New Roman"/>
          <w:szCs w:val="20"/>
          <w:lang w:bidi="ar-SA"/>
        </w:rPr>
        <w:t xml:space="preserve">Przebudowa ul. Nickla wraz ze skrzyżowaniem z ul. Daleką w kwocie 550 000 zł, </w:t>
      </w:r>
    </w:p>
    <w:p>
      <w:pPr>
        <w:keepNext w:val="0"/>
        <w:keepLines w:val="0"/>
        <w:widowControl/>
        <w:numPr>
          <w:ilvl w:val="1"/>
          <w:numId w:val="11"/>
        </w:numPr>
        <w:suppressLineNumbers w:val="0"/>
        <w:shd w:val="clear" w:color="auto" w:fill="auto"/>
        <w:suppressAutoHyphens w:val="0"/>
        <w:spacing w:before="0" w:beforeAutospacing="0" w:after="0" w:afterAutospacing="0" w:line="240" w:lineRule="auto"/>
        <w:ind w:left="680" w:right="0" w:hanging="340"/>
        <w:contextualSpacing w:val="0"/>
        <w:jc w:val="both"/>
        <w:rPr>
          <w:rFonts w:eastAsia="Times New Roman" w:cs="Times New Roman"/>
          <w:szCs w:val="20"/>
          <w:lang w:bidi="ar-SA"/>
        </w:rPr>
      </w:pPr>
      <w:r>
        <w:rPr>
          <w:rFonts w:eastAsia="Times New Roman" w:cs="Times New Roman"/>
          <w:szCs w:val="20"/>
          <w:lang w:bidi="ar-SA"/>
        </w:rPr>
        <w:t>Przebudowa ulicy Frycza-Modrzewskiego w kwocie 8 707 225 zł,</w:t>
      </w:r>
    </w:p>
    <w:p>
      <w:pPr>
        <w:keepNext w:val="0"/>
        <w:keepLines w:val="0"/>
        <w:widowControl/>
        <w:numPr>
          <w:ilvl w:val="1"/>
          <w:numId w:val="11"/>
        </w:numPr>
        <w:suppressLineNumbers w:val="0"/>
        <w:shd w:val="clear" w:color="auto" w:fill="auto"/>
        <w:suppressAutoHyphens w:val="0"/>
        <w:spacing w:before="0" w:beforeAutospacing="0" w:after="0" w:afterAutospacing="0" w:line="240" w:lineRule="auto"/>
        <w:ind w:left="680" w:right="0" w:hanging="340"/>
        <w:contextualSpacing w:val="0"/>
        <w:jc w:val="both"/>
        <w:rPr>
          <w:rFonts w:eastAsia="Times New Roman" w:cs="Times New Roman"/>
          <w:szCs w:val="20"/>
          <w:lang w:bidi="ar-SA"/>
        </w:rPr>
      </w:pPr>
      <w:r>
        <w:rPr>
          <w:rFonts w:eastAsia="Times New Roman" w:cs="Times New Roman"/>
          <w:szCs w:val="20"/>
          <w:lang w:bidi="ar-SA"/>
        </w:rPr>
        <w:t>Przebudowa wiaduktu nad ul. Siemianowicką w ciągu DW 911 w Bytomiu w kwocie 450 000 zł,</w:t>
      </w:r>
    </w:p>
    <w:p>
      <w:pPr>
        <w:keepNext w:val="0"/>
        <w:keepLines w:val="0"/>
        <w:widowControl/>
        <w:numPr>
          <w:ilvl w:val="0"/>
          <w:numId w:val="12"/>
        </w:numPr>
        <w:suppressLineNumbers w:val="0"/>
        <w:shd w:val="clear" w:color="auto" w:fill="auto"/>
        <w:suppressAutoHyphens w:val="0"/>
        <w:spacing w:before="0" w:beforeAutospacing="0" w:after="0" w:afterAutospacing="0" w:line="240" w:lineRule="auto"/>
        <w:ind w:left="680" w:right="0" w:hanging="340"/>
        <w:contextualSpacing w:val="0"/>
        <w:jc w:val="both"/>
        <w:rPr>
          <w:rFonts w:eastAsia="Times New Roman" w:cs="Times New Roman"/>
          <w:szCs w:val="20"/>
          <w:lang w:bidi="ar-SA"/>
        </w:rPr>
      </w:pPr>
      <w:r>
        <w:rPr>
          <w:rFonts w:eastAsia="Times New Roman" w:cs="Times New Roman"/>
          <w:szCs w:val="20"/>
          <w:lang w:bidi="ar-SA"/>
        </w:rPr>
        <w:t>Budowa drogi gminnej pomiędzy ul. Orzegowską a ul. Konstytucji w Bytomiu – etap III i IV w kwocie 559 150 zł,</w:t>
      </w:r>
    </w:p>
    <w:p>
      <w:pPr>
        <w:keepNext w:val="0"/>
        <w:keepLines w:val="0"/>
        <w:widowControl/>
        <w:numPr>
          <w:ilvl w:val="0"/>
          <w:numId w:val="12"/>
        </w:numPr>
        <w:suppressLineNumbers w:val="0"/>
        <w:shd w:val="clear" w:color="auto" w:fill="auto"/>
        <w:suppressAutoHyphens w:val="0"/>
        <w:spacing w:before="0" w:beforeAutospacing="0" w:after="0" w:afterAutospacing="0" w:line="240" w:lineRule="auto"/>
        <w:ind w:left="680" w:right="0" w:hanging="340"/>
        <w:contextualSpacing w:val="0"/>
        <w:jc w:val="both"/>
        <w:rPr>
          <w:rFonts w:eastAsia="Times New Roman" w:cs="Times New Roman"/>
          <w:szCs w:val="20"/>
          <w:lang w:bidi="ar-SA"/>
        </w:rPr>
      </w:pPr>
      <w:r>
        <w:rPr>
          <w:rFonts w:eastAsia="Times New Roman" w:cs="Times New Roman"/>
          <w:szCs w:val="20"/>
          <w:lang w:bidi="ar-SA"/>
        </w:rPr>
        <w:t>Budowa centrum przesiadkowego na terenie Gminy Bytom – Stroszek w kwocie 745 991 zł,</w:t>
      </w:r>
    </w:p>
    <w:p>
      <w:pPr>
        <w:keepNext w:val="0"/>
        <w:keepLines w:val="0"/>
        <w:widowControl/>
        <w:numPr>
          <w:ilvl w:val="1"/>
          <w:numId w:val="11"/>
        </w:numPr>
        <w:suppressLineNumbers w:val="0"/>
        <w:shd w:val="clear" w:color="auto" w:fill="auto"/>
        <w:suppressAutoHyphens w:val="0"/>
        <w:spacing w:before="0" w:beforeAutospacing="0" w:after="120" w:afterAutospacing="0" w:line="240" w:lineRule="auto"/>
        <w:ind w:left="680" w:right="0" w:hanging="340"/>
        <w:contextualSpacing w:val="0"/>
        <w:jc w:val="both"/>
        <w:rPr>
          <w:rFonts w:eastAsia="Times New Roman" w:cs="Times New Roman"/>
          <w:szCs w:val="20"/>
          <w:lang w:bidi="ar-SA"/>
        </w:rPr>
      </w:pPr>
      <w:r>
        <w:rPr>
          <w:rFonts w:eastAsia="Times New Roman" w:cs="Times New Roman"/>
          <w:szCs w:val="20"/>
          <w:lang w:bidi="ar-SA"/>
        </w:rPr>
        <w:t>Modernizacja energetyczna budynku przy ul. Smolenia 20 w Bytomiu w kwocie 527 117 zł;</w:t>
      </w:r>
    </w:p>
    <w:p>
      <w:pPr>
        <w:keepNext w:val="0"/>
        <w:keepLines w:val="0"/>
        <w:widowControl/>
        <w:numPr>
          <w:ilvl w:val="0"/>
          <w:numId w:val="10"/>
        </w:numPr>
        <w:suppressLineNumbers w:val="0"/>
        <w:shd w:val="clear" w:color="auto" w:fill="auto"/>
        <w:suppressAutoHyphens w:val="0"/>
        <w:spacing w:before="0" w:beforeAutospacing="0" w:after="240" w:afterAutospacing="0" w:line="240" w:lineRule="auto"/>
        <w:ind w:left="340" w:right="0" w:hanging="340"/>
        <w:contextualSpacing w:val="0"/>
        <w:jc w:val="both"/>
        <w:rPr>
          <w:rFonts w:eastAsia="Times New Roman" w:cs="Times New Roman"/>
          <w:szCs w:val="20"/>
          <w:lang w:bidi="ar-SA"/>
        </w:rPr>
      </w:pPr>
      <w:r>
        <w:rPr>
          <w:rFonts w:eastAsia="Times New Roman" w:cs="Times New Roman"/>
          <w:szCs w:val="20"/>
          <w:lang w:bidi="ar-SA"/>
        </w:rPr>
        <w:t>niewykorzystanych środków pieniężnych na rachunku bieżącym budżetu, wynikających z rozliczenia środków określonych w art. 5 ust. 1 pkt 2 i dotacji na realizację programu, projektu lub zadania finansowanego z udziałem tych środków w łącznej kwocie 4 956 096 zł;</w:t>
      </w:r>
    </w:p>
    <w:p>
      <w:pPr>
        <w:keepNext w:val="0"/>
        <w:keepLines w:val="0"/>
        <w:widowControl/>
        <w:suppressLineNumbers w:val="0"/>
        <w:shd w:val="clear" w:color="auto" w:fill="auto"/>
        <w:suppressAutoHyphens w:val="0"/>
        <w:spacing w:before="0" w:beforeAutospacing="0" w:after="0" w:afterAutospacing="0" w:line="240" w:lineRule="auto"/>
        <w:ind w:left="340" w:right="0" w:firstLine="0"/>
        <w:contextualSpacing w:val="0"/>
        <w:jc w:val="both"/>
        <w:rPr>
          <w:rFonts w:eastAsia="Times New Roman" w:cs="Times New Roman"/>
          <w:szCs w:val="20"/>
          <w:lang w:bidi="ar-SA"/>
        </w:rPr>
      </w:pPr>
      <w:r>
        <w:rPr>
          <w:rFonts w:eastAsia="Times New Roman" w:cs="Times New Roman"/>
          <w:szCs w:val="20"/>
          <w:lang w:bidi="ar-SA"/>
        </w:rPr>
        <w:t>W pozycji tej zaplanowano środki finansowe z Fundacji Rozwoju Systemu Edukacji, Funduszy Europejskich dla Śląskiego oraz budżetu państwa, które wpłynęły na rachunek bankowy budżetu miasta w 2024 i 2025 roku na sfinansowanie wydatków projektów wieloletnich w 2025 i częściowo w 2026 roku, zgodnie z poniższym zestawieniem:</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158"/>
        <w:gridCol w:w="1967"/>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27"/>
          <w:jc w:val="center"/>
        </w:trPr>
        <w:tc>
          <w:tcPr>
            <w:tcW w:w="10643" w:type="dxa"/>
            <w:gridSpan w:val="2"/>
            <w:tcBorders>
              <w:top w:val="nil"/>
              <w:left w:val="nil"/>
              <w:bottom w:val="single" w:sz="4" w:space="0" w:color="auto"/>
              <w:right w:val="nil"/>
            </w:tcBorders>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340"/>
              <w:contextualSpacing w:val="0"/>
              <w:jc w:val="right"/>
              <w:rPr>
                <w:rFonts w:eastAsia="Times New Roman" w:cs="Times New Roman"/>
                <w:sz w:val="16"/>
                <w:szCs w:val="20"/>
                <w:lang w:bidi="ar-SA"/>
              </w:rPr>
            </w:pPr>
            <w:r>
              <w:rPr>
                <w:rFonts w:eastAsia="Times New Roman" w:cs="Times New Roman"/>
                <w:sz w:val="16"/>
                <w:szCs w:val="20"/>
                <w:lang w:bidi="ar-SA"/>
              </w:rPr>
              <w:t>kwota w zł</w:t>
            </w:r>
            <w:r>
              <w:rPr>
                <w:rFonts w:eastAsia="Times New Roman" w:cs="Times New Roman"/>
                <w:sz w:val="16"/>
                <w:szCs w:val="20"/>
              </w:rPr>
              <w:t>otych</w:t>
            </w:r>
          </w:p>
        </w:tc>
      </w:tr>
      <w:tr>
        <w:tblPrEx>
          <w:tblW w:w="0" w:type="auto"/>
          <w:jc w:val="center"/>
          <w:tblLook w:val="04A0"/>
        </w:tblPrEx>
        <w:trPr>
          <w:trHeight w:val="340"/>
          <w:jc w:val="center"/>
        </w:trPr>
        <w:tc>
          <w:tcPr>
            <w:tcW w:w="8942" w:type="dxa"/>
            <w:tcBorders>
              <w:top w:val="single" w:sz="4" w:space="0" w:color="auto"/>
            </w:tcBorders>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b/>
                <w:sz w:val="20"/>
                <w:szCs w:val="20"/>
                <w:lang w:bidi="ar-SA"/>
              </w:rPr>
              <w:t>Wyszczególnienie</w:t>
            </w:r>
          </w:p>
        </w:tc>
        <w:tc>
          <w:tcPr>
            <w:tcW w:w="1701" w:type="dxa"/>
            <w:tcBorders>
              <w:top w:val="single" w:sz="4" w:space="0" w:color="auto"/>
            </w:tcBorders>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b/>
                <w:sz w:val="20"/>
                <w:szCs w:val="20"/>
                <w:lang w:bidi="ar-SA"/>
              </w:rPr>
              <w:t>Kwota</w:t>
            </w:r>
          </w:p>
        </w:tc>
      </w:tr>
      <w:tr>
        <w:tblPrEx>
          <w:tblW w:w="0" w:type="auto"/>
          <w:jc w:val="center"/>
          <w:tblLook w:val="04A0"/>
        </w:tblPrEx>
        <w:trPr>
          <w:trHeight w:val="227"/>
          <w:jc w:val="center"/>
        </w:trPr>
        <w:tc>
          <w:tcPr>
            <w:tcW w:w="8942" w:type="dxa"/>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both"/>
              <w:rPr>
                <w:rFonts w:eastAsia="Times New Roman" w:cs="Times New Roman"/>
                <w:sz w:val="20"/>
                <w:szCs w:val="20"/>
                <w:lang w:bidi="ar-SA"/>
              </w:rPr>
            </w:pPr>
            <w:r>
              <w:rPr>
                <w:rFonts w:eastAsia="Times New Roman" w:cs="Times New Roman"/>
                <w:sz w:val="20"/>
                <w:szCs w:val="20"/>
                <w:lang w:bidi="ar-SA"/>
              </w:rPr>
              <w:t>Dostępny samorząd 2.0</w:t>
            </w:r>
          </w:p>
        </w:tc>
        <w:tc>
          <w:tcPr>
            <w:tcW w:w="1701" w:type="dxa"/>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240 000</w:t>
            </w:r>
          </w:p>
        </w:tc>
      </w:tr>
      <w:tr>
        <w:tblPrEx>
          <w:tblW w:w="0" w:type="auto"/>
          <w:jc w:val="center"/>
          <w:tblLook w:val="04A0"/>
        </w:tblPrEx>
        <w:trPr>
          <w:trHeight w:val="227"/>
          <w:jc w:val="center"/>
        </w:trPr>
        <w:tc>
          <w:tcPr>
            <w:tcW w:w="8942" w:type="dxa"/>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both"/>
              <w:rPr>
                <w:rFonts w:eastAsia="Times New Roman" w:cs="Times New Roman"/>
                <w:sz w:val="20"/>
                <w:szCs w:val="20"/>
                <w:lang w:bidi="ar-SA"/>
              </w:rPr>
            </w:pPr>
            <w:r>
              <w:rPr>
                <w:rFonts w:eastAsia="Times New Roman" w:cs="Times New Roman"/>
                <w:sz w:val="20"/>
                <w:szCs w:val="20"/>
                <w:lang w:bidi="ar-SA"/>
              </w:rPr>
              <w:t>Podniesienie poziomu cyberbezpieczeństwa Gminy Bytom (w zakresie wydatków bieżących)</w:t>
            </w:r>
          </w:p>
        </w:tc>
        <w:tc>
          <w:tcPr>
            <w:tcW w:w="1701" w:type="dxa"/>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207 000</w:t>
            </w:r>
          </w:p>
        </w:tc>
      </w:tr>
      <w:tr>
        <w:tblPrEx>
          <w:tblW w:w="0" w:type="auto"/>
          <w:jc w:val="center"/>
          <w:tblLook w:val="04A0"/>
        </w:tblPrEx>
        <w:trPr>
          <w:cantSplit/>
          <w:trHeight w:val="227"/>
          <w:jc w:val="center"/>
        </w:trPr>
        <w:tc>
          <w:tcPr>
            <w:tcW w:w="8942" w:type="dxa"/>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both"/>
              <w:rPr>
                <w:rFonts w:eastAsia="Times New Roman" w:cs="Times New Roman"/>
                <w:sz w:val="20"/>
                <w:szCs w:val="20"/>
                <w:lang w:bidi="ar-SA"/>
              </w:rPr>
            </w:pPr>
            <w:r>
              <w:rPr>
                <w:rFonts w:eastAsia="Times New Roman" w:cs="Times New Roman"/>
                <w:sz w:val="20"/>
                <w:szCs w:val="20"/>
                <w:lang w:bidi="ar-SA"/>
              </w:rPr>
              <w:t>Podniesienie poziomu cyberbezpieczeństwa Gminy Bytom (w zakresie wydatków majątkowych)</w:t>
            </w:r>
          </w:p>
        </w:tc>
        <w:tc>
          <w:tcPr>
            <w:tcW w:w="1701" w:type="dxa"/>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587 500</w:t>
            </w:r>
          </w:p>
        </w:tc>
      </w:tr>
      <w:tr>
        <w:tblPrEx>
          <w:tblW w:w="0" w:type="auto"/>
          <w:jc w:val="center"/>
          <w:tblLook w:val="04A0"/>
        </w:tblPrEx>
        <w:trPr>
          <w:trHeight w:val="227"/>
          <w:jc w:val="center"/>
        </w:trPr>
        <w:tc>
          <w:tcPr>
            <w:tcW w:w="8942" w:type="dxa"/>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both"/>
              <w:rPr>
                <w:rFonts w:eastAsia="Times New Roman" w:cs="Times New Roman"/>
                <w:sz w:val="20"/>
                <w:szCs w:val="20"/>
                <w:lang w:bidi="ar-SA"/>
              </w:rPr>
            </w:pPr>
            <w:r>
              <w:rPr>
                <w:rFonts w:eastAsia="Times New Roman" w:cs="Times New Roman"/>
                <w:sz w:val="20"/>
                <w:szCs w:val="20"/>
                <w:lang w:bidi="ar-SA"/>
              </w:rPr>
              <w:t>Zagraniczne mobilności zawodowe dla uczniów i kadry ZST</w:t>
            </w:r>
          </w:p>
        </w:tc>
        <w:tc>
          <w:tcPr>
            <w:tcW w:w="1701" w:type="dxa"/>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286 809</w:t>
            </w:r>
          </w:p>
        </w:tc>
      </w:tr>
      <w:tr>
        <w:tblPrEx>
          <w:tblW w:w="0" w:type="auto"/>
          <w:jc w:val="center"/>
          <w:tblLook w:val="04A0"/>
        </w:tblPrEx>
        <w:trPr>
          <w:trHeight w:val="227"/>
          <w:jc w:val="center"/>
        </w:trPr>
        <w:tc>
          <w:tcPr>
            <w:tcW w:w="8942" w:type="dxa"/>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both"/>
              <w:rPr>
                <w:rFonts w:eastAsia="Times New Roman" w:cs="Times New Roman"/>
                <w:sz w:val="20"/>
                <w:szCs w:val="20"/>
                <w:lang w:bidi="ar-SA"/>
              </w:rPr>
            </w:pPr>
            <w:r>
              <w:rPr>
                <w:rFonts w:eastAsia="Times New Roman" w:cs="Times New Roman"/>
                <w:sz w:val="20"/>
                <w:szCs w:val="20"/>
                <w:lang w:bidi="ar-SA"/>
              </w:rPr>
              <w:t>Otwarte umysły – Otwarta przyszłość – zawodowe szkolenia dla społeczności szkolnej</w:t>
            </w:r>
          </w:p>
        </w:tc>
        <w:tc>
          <w:tcPr>
            <w:tcW w:w="1701" w:type="dxa"/>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261 653</w:t>
            </w:r>
          </w:p>
        </w:tc>
      </w:tr>
      <w:tr>
        <w:tblPrEx>
          <w:tblW w:w="0" w:type="auto"/>
          <w:jc w:val="center"/>
          <w:tblLook w:val="04A0"/>
        </w:tblPrEx>
        <w:trPr>
          <w:trHeight w:val="227"/>
          <w:jc w:val="center"/>
        </w:trPr>
        <w:tc>
          <w:tcPr>
            <w:tcW w:w="8942" w:type="dxa"/>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both"/>
              <w:rPr>
                <w:rFonts w:eastAsia="Times New Roman" w:cs="Times New Roman"/>
                <w:sz w:val="20"/>
                <w:szCs w:val="20"/>
                <w:lang w:bidi="ar-SA"/>
              </w:rPr>
            </w:pPr>
            <w:r>
              <w:rPr>
                <w:rFonts w:eastAsia="Times New Roman" w:cs="Times New Roman"/>
                <w:sz w:val="20"/>
                <w:szCs w:val="20"/>
                <w:lang w:bidi="ar-SA"/>
              </w:rPr>
              <w:t>Kompas kariery – Edukacja, doświadczenie, rozwój</w:t>
            </w:r>
          </w:p>
        </w:tc>
        <w:tc>
          <w:tcPr>
            <w:tcW w:w="1701" w:type="dxa"/>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136 400</w:t>
            </w:r>
          </w:p>
        </w:tc>
      </w:tr>
      <w:tr>
        <w:tblPrEx>
          <w:tblW w:w="0" w:type="auto"/>
          <w:jc w:val="center"/>
          <w:tblLook w:val="04A0"/>
        </w:tblPrEx>
        <w:trPr>
          <w:trHeight w:val="227"/>
          <w:jc w:val="center"/>
        </w:trPr>
        <w:tc>
          <w:tcPr>
            <w:tcW w:w="8942" w:type="dxa"/>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both"/>
              <w:rPr>
                <w:rFonts w:eastAsia="Times New Roman" w:cs="Times New Roman"/>
                <w:sz w:val="20"/>
                <w:szCs w:val="20"/>
                <w:lang w:bidi="ar-SA"/>
              </w:rPr>
            </w:pPr>
            <w:r>
              <w:rPr>
                <w:rFonts w:eastAsia="Times New Roman" w:cs="Times New Roman"/>
                <w:sz w:val="20"/>
                <w:szCs w:val="20"/>
                <w:lang w:bidi="ar-SA"/>
              </w:rPr>
              <w:t>Niech historia łączy a nie dzieli nas</w:t>
            </w:r>
          </w:p>
        </w:tc>
        <w:tc>
          <w:tcPr>
            <w:tcW w:w="1701" w:type="dxa"/>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3 918</w:t>
            </w:r>
          </w:p>
        </w:tc>
      </w:tr>
      <w:tr>
        <w:tblPrEx>
          <w:tblW w:w="0" w:type="auto"/>
          <w:jc w:val="center"/>
          <w:tblLook w:val="04A0"/>
        </w:tblPrEx>
        <w:trPr>
          <w:trHeight w:val="227"/>
          <w:jc w:val="center"/>
        </w:trPr>
        <w:tc>
          <w:tcPr>
            <w:tcW w:w="8942" w:type="dxa"/>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both"/>
              <w:rPr>
                <w:rFonts w:eastAsia="Times New Roman" w:cs="Times New Roman"/>
                <w:sz w:val="20"/>
                <w:szCs w:val="20"/>
                <w:lang w:bidi="ar-SA"/>
              </w:rPr>
            </w:pPr>
            <w:r>
              <w:rPr>
                <w:rFonts w:eastAsia="Times New Roman" w:cs="Times New Roman"/>
                <w:sz w:val="20"/>
                <w:szCs w:val="20"/>
                <w:lang w:bidi="ar-SA"/>
              </w:rPr>
              <w:t>CRAB – Centrum Rozwoju Aktywności Bytomskiej</w:t>
            </w:r>
          </w:p>
        </w:tc>
        <w:tc>
          <w:tcPr>
            <w:tcW w:w="1701" w:type="dxa"/>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9 677</w:t>
            </w:r>
          </w:p>
        </w:tc>
      </w:tr>
      <w:tr>
        <w:tblPrEx>
          <w:tblW w:w="0" w:type="auto"/>
          <w:jc w:val="center"/>
          <w:tblLook w:val="04A0"/>
        </w:tblPrEx>
        <w:trPr>
          <w:trHeight w:val="227"/>
          <w:jc w:val="center"/>
        </w:trPr>
        <w:tc>
          <w:tcPr>
            <w:tcW w:w="8942" w:type="dxa"/>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both"/>
              <w:rPr>
                <w:rFonts w:eastAsia="Times New Roman" w:cs="Times New Roman"/>
                <w:sz w:val="20"/>
                <w:szCs w:val="20"/>
                <w:lang w:bidi="ar-SA"/>
              </w:rPr>
            </w:pPr>
            <w:r>
              <w:rPr>
                <w:rFonts w:eastAsia="Times New Roman" w:cs="Times New Roman"/>
                <w:sz w:val="20"/>
                <w:szCs w:val="20"/>
                <w:lang w:bidi="ar-SA"/>
              </w:rPr>
              <w:t>Centrum Wsparcia Rodzicielstwa Zastępczego – CWRZ I</w:t>
            </w:r>
          </w:p>
        </w:tc>
        <w:tc>
          <w:tcPr>
            <w:tcW w:w="1701" w:type="dxa"/>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238 607</w:t>
            </w:r>
          </w:p>
        </w:tc>
      </w:tr>
      <w:tr>
        <w:tblPrEx>
          <w:tblW w:w="0" w:type="auto"/>
          <w:jc w:val="center"/>
          <w:tblLook w:val="04A0"/>
        </w:tblPrEx>
        <w:trPr>
          <w:trHeight w:val="227"/>
          <w:jc w:val="center"/>
        </w:trPr>
        <w:tc>
          <w:tcPr>
            <w:tcW w:w="8942" w:type="dxa"/>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both"/>
              <w:rPr>
                <w:rFonts w:eastAsia="Times New Roman" w:cs="Times New Roman"/>
                <w:sz w:val="20"/>
                <w:szCs w:val="20"/>
                <w:lang w:bidi="ar-SA"/>
              </w:rPr>
            </w:pPr>
            <w:r>
              <w:rPr>
                <w:rFonts w:eastAsia="Times New Roman" w:cs="Times New Roman"/>
                <w:sz w:val="20"/>
                <w:szCs w:val="20"/>
                <w:lang w:bidi="ar-SA"/>
              </w:rPr>
              <w:t>Biznes na zicher – 100 tysięcy na start</w:t>
            </w:r>
          </w:p>
        </w:tc>
        <w:tc>
          <w:tcPr>
            <w:tcW w:w="1701" w:type="dxa"/>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2 984 532</w:t>
            </w:r>
          </w:p>
        </w:tc>
      </w:tr>
      <w:tr>
        <w:tblPrEx>
          <w:tblW w:w="0" w:type="auto"/>
          <w:jc w:val="center"/>
          <w:tblLook w:val="04A0"/>
        </w:tblPrEx>
        <w:trPr>
          <w:trHeight w:val="227"/>
          <w:jc w:val="center"/>
        </w:trPr>
        <w:tc>
          <w:tcPr>
            <w:tcW w:w="8942" w:type="dxa"/>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both"/>
              <w:rPr>
                <w:rFonts w:eastAsia="Times New Roman" w:cs="Times New Roman"/>
                <w:b/>
                <w:sz w:val="20"/>
                <w:szCs w:val="20"/>
                <w:lang w:bidi="ar-SA"/>
              </w:rPr>
            </w:pPr>
            <w:r>
              <w:rPr>
                <w:rFonts w:eastAsia="Times New Roman" w:cs="Times New Roman"/>
                <w:b/>
                <w:sz w:val="20"/>
                <w:szCs w:val="20"/>
                <w:lang w:bidi="ar-SA"/>
              </w:rPr>
              <w:t>Razem</w:t>
            </w:r>
          </w:p>
        </w:tc>
        <w:tc>
          <w:tcPr>
            <w:tcW w:w="1701" w:type="dxa"/>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b/>
                <w:sz w:val="20"/>
                <w:szCs w:val="20"/>
                <w:lang w:bidi="ar-SA"/>
              </w:rPr>
              <w:t>4 956 096</w:t>
            </w:r>
          </w:p>
        </w:tc>
      </w:tr>
    </w:tbl>
    <w:p>
      <w:pPr>
        <w:keepNext w:val="0"/>
        <w:keepLines w:val="0"/>
        <w:widowControl/>
        <w:suppressLineNumbers w:val="0"/>
        <w:shd w:val="clear" w:color="auto" w:fill="auto"/>
        <w:suppressAutoHyphens w:val="0"/>
        <w:spacing w:before="240" w:beforeAutospacing="0" w:after="120" w:afterAutospacing="0" w:line="240" w:lineRule="auto"/>
        <w:ind w:left="340" w:right="0" w:firstLine="0"/>
        <w:contextualSpacing w:val="0"/>
        <w:jc w:val="both"/>
        <w:rPr>
          <w:rFonts w:eastAsia="Times New Roman" w:cs="Times New Roman"/>
          <w:szCs w:val="20"/>
          <w:lang w:bidi="ar-SA"/>
        </w:rPr>
      </w:pPr>
      <w:r>
        <w:rPr>
          <w:rFonts w:eastAsia="Times New Roman" w:cs="Times New Roman"/>
          <w:szCs w:val="20"/>
          <w:lang w:bidi="ar-SA"/>
        </w:rPr>
        <w:t>Kwota niewykorzystanych środków pieniężnych na rachunku bieżącym budżetu, wynikających z rozliczenia dochodów i wydatków nimi finansowanych związanych ze szczególnymi zasadami wykonywania budżetu określonymi w odrębnych ustawach oraz wynikających z rozliczenia środków określonych w art. 5 ust. 1 pkt 2 i dotacji na realizację programu, projektu lub zadania finansowanego z udziałem tych środków według stanu na 31 grudnia 2024 r. wynosiła 23 317 955,83 zł.</w:t>
      </w:r>
    </w:p>
    <w:p>
      <w:pPr>
        <w:keepNext w:val="0"/>
        <w:keepLines w:val="0"/>
        <w:widowControl/>
        <w:suppressLineNumbers w:val="0"/>
        <w:shd w:val="clear" w:color="auto" w:fill="auto"/>
        <w:suppressAutoHyphens w:val="0"/>
        <w:spacing w:before="0" w:beforeAutospacing="0" w:after="120" w:afterAutospacing="0" w:line="240" w:lineRule="auto"/>
        <w:ind w:left="340" w:right="0" w:firstLine="0"/>
        <w:contextualSpacing w:val="0"/>
        <w:jc w:val="both"/>
        <w:rPr>
          <w:rFonts w:eastAsia="Times New Roman" w:cs="Times New Roman"/>
          <w:szCs w:val="20"/>
          <w:lang w:bidi="ar-SA"/>
        </w:rPr>
      </w:pPr>
      <w:r>
        <w:rPr>
          <w:rFonts w:eastAsia="Times New Roman" w:cs="Times New Roman"/>
          <w:szCs w:val="20"/>
          <w:lang w:bidi="ar-SA"/>
        </w:rPr>
        <w:t>W sprawozdaniu Rb-NDS za III kwartał 2025 r. w poz. D.14. wykazano planowane przychody w kwocie 20 781 273 zł oraz wykonane przychody w kwocie 23 317 955,83 zł. Jednocześnie w związku przesunięciem realizacji zadań inwestycyjnych finansowanych ze środków Rządowego Funduszu Inwestycji Lokalnych na rok 2026 w październiku 2025 r. dokonano zmniejszenia planu przychodów na 2025 r. do kwoty 12 074 048 zł, a zatem według stanu na dzień 31 października 2025 r. różnica pomiędzy kwotą wykonanych przychodów z ww. tytułu, a kwotą zaplanowaną do wykorzystania w roku 2025 wyniosła 11 243 907,83 zł. Szczegóły zaprezentowano w poniższej tabeli:</w:t>
      </w:r>
    </w:p>
    <w:p>
      <w:pPr>
        <w:keepNext w:val="0"/>
        <w:keepLines w:val="0"/>
        <w:widowControl/>
        <w:suppressLineNumbers w:val="0"/>
        <w:shd w:val="clear" w:color="auto" w:fill="auto"/>
        <w:suppressAutoHyphens w:val="0"/>
        <w:spacing w:before="0" w:beforeAutospacing="0" w:after="120" w:afterAutospacing="0" w:line="240" w:lineRule="auto"/>
        <w:ind w:left="340" w:right="0" w:firstLine="0"/>
        <w:contextualSpacing w:val="0"/>
        <w:jc w:val="both"/>
        <w:rPr>
          <w:rFonts w:eastAsia="Times New Roman" w:cs="Times New Roman"/>
          <w:szCs w:val="20"/>
          <w:lang w:bidi="ar-SA"/>
        </w:rPr>
      </w:pPr>
      <w:r>
        <w:rPr>
          <w:rFonts w:eastAsia="Times New Roman" w:cs="Times New Roman"/>
          <w:szCs w:val="20"/>
          <w:lang w:bidi="ar-SA"/>
        </w:rPr>
        <w:br w:type="page"/>
      </w:r>
    </w:p>
    <w:tbl>
      <w:tblPr>
        <w:tblStyle w:val="TableNormal"/>
        <w:tblW w:w="0" w:type="auto"/>
        <w:jc w:val="center"/>
        <w:tblLayout w:type="fixed"/>
        <w:tblCellMar>
          <w:left w:w="70" w:type="dxa"/>
          <w:right w:w="70" w:type="dxa"/>
        </w:tblCellMar>
        <w:tblLook w:val="04A0"/>
      </w:tblPr>
      <w:tblGrid>
        <w:gridCol w:w="5445"/>
        <w:gridCol w:w="2410"/>
        <w:gridCol w:w="2094"/>
        <w:gridCol w:w="1914"/>
        <w:gridCol w:w="1914"/>
      </w:tblGrid>
      <w:tr>
        <w:tblPrEx>
          <w:tblW w:w="0" w:type="auto"/>
          <w:jc w:val="center"/>
          <w:tblLayout w:type="fixed"/>
          <w:tblCellMar>
            <w:left w:w="70" w:type="dxa"/>
            <w:right w:w="70" w:type="dxa"/>
          </w:tblCellMar>
          <w:tblLook w:val="04A0"/>
        </w:tblPrEx>
        <w:trPr>
          <w:cantSplit/>
          <w:trHeight w:val="227"/>
          <w:jc w:val="center"/>
        </w:trPr>
        <w:tc>
          <w:tcPr>
            <w:tcW w:w="13777" w:type="dxa"/>
            <w:gridSpan w:val="5"/>
            <w:tcBorders>
              <w:bottom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color w:val="000000"/>
                <w:sz w:val="20"/>
                <w:szCs w:val="20"/>
                <w:lang w:bidi="ar-SA"/>
              </w:rPr>
            </w:pPr>
            <w:r>
              <w:rPr>
                <w:rFonts w:eastAsia="Times New Roman" w:cs="Times New Roman"/>
                <w:sz w:val="16"/>
                <w:szCs w:val="20"/>
                <w:lang w:bidi="ar-SA"/>
              </w:rPr>
              <w:t>kwota w zł</w:t>
            </w:r>
            <w:r>
              <w:rPr>
                <w:rFonts w:eastAsia="Times New Roman" w:cs="Times New Roman"/>
                <w:sz w:val="16"/>
                <w:szCs w:val="20"/>
              </w:rPr>
              <w:t>otych</w:t>
            </w:r>
          </w:p>
        </w:tc>
      </w:tr>
      <w:tr>
        <w:tblPrEx>
          <w:tblW w:w="0" w:type="auto"/>
          <w:jc w:val="center"/>
          <w:tblLayout w:type="fixed"/>
          <w:tblCellMar>
            <w:left w:w="70" w:type="dxa"/>
            <w:right w:w="70" w:type="dxa"/>
          </w:tblCellMar>
          <w:tblLook w:val="04A0"/>
        </w:tblPrEx>
        <w:trPr>
          <w:cantSplit/>
          <w:trHeight w:val="850"/>
          <w:jc w:val="center"/>
        </w:trPr>
        <w:tc>
          <w:tcPr>
            <w:tcW w:w="5445" w:type="dxa"/>
            <w:tcBorders>
              <w:top w:val="single" w:sz="4" w:space="0" w:color="auto"/>
              <w:left w:val="single" w:sz="4" w:space="0" w:color="auto"/>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color w:val="000000"/>
                <w:sz w:val="16"/>
                <w:szCs w:val="20"/>
                <w:lang w:bidi="ar-SA"/>
              </w:rPr>
            </w:pPr>
          </w:p>
        </w:tc>
        <w:tc>
          <w:tcPr>
            <w:tcW w:w="2410" w:type="dxa"/>
            <w:tcBorders>
              <w:top w:val="single" w:sz="4" w:space="0" w:color="auto"/>
              <w:left w:val="nil"/>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color w:val="000000"/>
                <w:sz w:val="16"/>
                <w:szCs w:val="20"/>
                <w:lang w:bidi="ar-SA"/>
              </w:rPr>
            </w:pPr>
            <w:r>
              <w:rPr>
                <w:rFonts w:eastAsia="Times New Roman" w:cs="Times New Roman"/>
                <w:color w:val="000000"/>
                <w:sz w:val="16"/>
                <w:szCs w:val="20"/>
                <w:lang w:bidi="ar-SA"/>
              </w:rPr>
              <w:t>stan niewykorzystanych środków na rachunku budżetu</w:t>
            </w:r>
          </w:p>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color w:val="000000"/>
                <w:sz w:val="16"/>
                <w:szCs w:val="20"/>
                <w:lang w:bidi="ar-SA"/>
              </w:rPr>
            </w:pPr>
            <w:r>
              <w:rPr>
                <w:rFonts w:eastAsia="Times New Roman" w:cs="Times New Roman"/>
                <w:color w:val="000000"/>
                <w:sz w:val="16"/>
                <w:szCs w:val="20"/>
                <w:lang w:bidi="ar-SA"/>
              </w:rPr>
              <w:t>na 31.12.2024 r.</w:t>
            </w:r>
          </w:p>
        </w:tc>
        <w:tc>
          <w:tcPr>
            <w:tcW w:w="2094" w:type="dxa"/>
            <w:tcBorders>
              <w:top w:val="single" w:sz="4" w:space="0" w:color="auto"/>
              <w:left w:val="nil"/>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color w:val="000000"/>
                <w:sz w:val="16"/>
                <w:szCs w:val="20"/>
                <w:lang w:bidi="ar-SA"/>
              </w:rPr>
            </w:pPr>
            <w:r>
              <w:rPr>
                <w:rFonts w:eastAsia="Times New Roman" w:cs="Times New Roman"/>
                <w:color w:val="000000"/>
                <w:sz w:val="16"/>
                <w:szCs w:val="20"/>
                <w:lang w:bidi="ar-SA"/>
              </w:rPr>
              <w:t xml:space="preserve">plan finansowy przychodów </w:t>
              <w:br/>
              <w:t>wg Rb-NDS za III kwartał 2025 r.</w:t>
            </w:r>
          </w:p>
        </w:tc>
        <w:tc>
          <w:tcPr>
            <w:tcW w:w="1914" w:type="dxa"/>
            <w:tcBorders>
              <w:top w:val="single" w:sz="4" w:space="0" w:color="auto"/>
              <w:left w:val="nil"/>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color w:val="000000"/>
                <w:sz w:val="16"/>
                <w:szCs w:val="20"/>
                <w:lang w:bidi="ar-SA"/>
              </w:rPr>
            </w:pPr>
            <w:r>
              <w:rPr>
                <w:rFonts w:eastAsia="Times New Roman" w:cs="Times New Roman"/>
                <w:color w:val="000000"/>
                <w:sz w:val="16"/>
                <w:szCs w:val="20"/>
                <w:lang w:bidi="ar-SA"/>
              </w:rPr>
              <w:t>plan finansowy przychodów na 31.10.2025 r.</w:t>
            </w:r>
          </w:p>
        </w:tc>
        <w:tc>
          <w:tcPr>
            <w:tcW w:w="1914" w:type="dxa"/>
            <w:tcBorders>
              <w:top w:val="single" w:sz="4" w:space="0" w:color="auto"/>
              <w:left w:val="nil"/>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color w:val="000000"/>
                <w:sz w:val="16"/>
                <w:szCs w:val="20"/>
                <w:lang w:bidi="ar-SA"/>
              </w:rPr>
            </w:pPr>
            <w:r>
              <w:rPr>
                <w:rFonts w:eastAsia="Times New Roman" w:cs="Times New Roman"/>
                <w:color w:val="000000"/>
                <w:sz w:val="16"/>
                <w:szCs w:val="20"/>
                <w:lang w:bidi="ar-SA"/>
              </w:rPr>
              <w:t>różnica wykonanie minus plan na 31.10.2025 r.</w:t>
            </w:r>
          </w:p>
        </w:tc>
      </w:tr>
      <w:tr>
        <w:tblPrEx>
          <w:tblW w:w="0" w:type="auto"/>
          <w:jc w:val="center"/>
          <w:tblLayout w:type="fixed"/>
          <w:tblCellMar>
            <w:left w:w="70" w:type="dxa"/>
            <w:right w:w="70" w:type="dxa"/>
          </w:tblCellMar>
          <w:tblLook w:val="04A0"/>
        </w:tblPrEx>
        <w:trPr>
          <w:cantSplit/>
          <w:trHeight w:val="227"/>
          <w:jc w:val="center"/>
        </w:trPr>
        <w:tc>
          <w:tcPr>
            <w:tcW w:w="5445" w:type="dxa"/>
            <w:tcBorders>
              <w:top w:val="single" w:sz="4" w:space="0" w:color="auto"/>
              <w:left w:val="single" w:sz="4" w:space="0" w:color="auto"/>
              <w:bottom w:val="single" w:sz="4" w:space="0" w:color="auto"/>
              <w:right w:val="single" w:sz="4" w:space="0" w:color="auto"/>
            </w:tcBorders>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color w:val="000000"/>
                <w:sz w:val="20"/>
                <w:szCs w:val="20"/>
                <w:lang w:bidi="ar-SA"/>
              </w:rPr>
            </w:pPr>
            <w:r>
              <w:rPr>
                <w:rFonts w:eastAsia="Times New Roman" w:cs="Times New Roman"/>
                <w:color w:val="000000"/>
                <w:sz w:val="20"/>
                <w:szCs w:val="20"/>
                <w:lang w:bidi="ar-SA"/>
              </w:rPr>
              <w:t>paragraf 905 – szczególne zasady wykonywania budżetu</w:t>
            </w:r>
          </w:p>
        </w:tc>
        <w:tc>
          <w:tcPr>
            <w:tcW w:w="2410"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color w:val="000000"/>
                <w:sz w:val="20"/>
                <w:szCs w:val="20"/>
                <w:lang w:bidi="ar-SA"/>
              </w:rPr>
            </w:pPr>
            <w:r>
              <w:rPr>
                <w:rFonts w:eastAsia="Times New Roman" w:cs="Times New Roman"/>
                <w:color w:val="000000"/>
                <w:sz w:val="20"/>
                <w:szCs w:val="20"/>
                <w:lang w:bidi="ar-SA"/>
              </w:rPr>
              <w:t>20 419 726,57</w:t>
            </w:r>
          </w:p>
        </w:tc>
        <w:tc>
          <w:tcPr>
            <w:tcW w:w="2094"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color w:val="000000"/>
                <w:sz w:val="20"/>
                <w:szCs w:val="20"/>
                <w:lang w:bidi="ar-SA"/>
              </w:rPr>
            </w:pPr>
            <w:r>
              <w:rPr>
                <w:rFonts w:eastAsia="Times New Roman" w:cs="Times New Roman"/>
                <w:color w:val="000000"/>
                <w:sz w:val="20"/>
                <w:szCs w:val="20"/>
                <w:lang w:bidi="ar-SA"/>
              </w:rPr>
              <w:t>17 965 834,00</w:t>
            </w:r>
          </w:p>
        </w:tc>
        <w:tc>
          <w:tcPr>
            <w:tcW w:w="1914"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color w:val="000000"/>
                <w:sz w:val="20"/>
                <w:szCs w:val="20"/>
                <w:lang w:bidi="ar-SA"/>
              </w:rPr>
            </w:pPr>
            <w:r>
              <w:rPr>
                <w:rFonts w:eastAsia="Times New Roman" w:cs="Times New Roman"/>
                <w:color w:val="000000"/>
                <w:sz w:val="20"/>
                <w:szCs w:val="20"/>
                <w:lang w:bidi="ar-SA"/>
              </w:rPr>
              <w:t>9 258 609,00</w:t>
            </w:r>
          </w:p>
        </w:tc>
        <w:tc>
          <w:tcPr>
            <w:tcW w:w="1914"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color w:val="000000"/>
                <w:sz w:val="20"/>
                <w:szCs w:val="20"/>
                <w:lang w:bidi="ar-SA"/>
              </w:rPr>
            </w:pPr>
            <w:r>
              <w:rPr>
                <w:rFonts w:eastAsia="Times New Roman" w:cs="Times New Roman"/>
                <w:color w:val="000000"/>
                <w:sz w:val="20"/>
                <w:szCs w:val="20"/>
                <w:lang w:bidi="ar-SA"/>
              </w:rPr>
              <w:t>11 161 117,57</w:t>
            </w:r>
          </w:p>
        </w:tc>
      </w:tr>
      <w:tr>
        <w:tblPrEx>
          <w:tblW w:w="0" w:type="auto"/>
          <w:jc w:val="center"/>
          <w:tblLayout w:type="fixed"/>
          <w:tblCellMar>
            <w:left w:w="70" w:type="dxa"/>
            <w:right w:w="70" w:type="dxa"/>
          </w:tblCellMar>
          <w:tblLook w:val="04A0"/>
        </w:tblPrEx>
        <w:trPr>
          <w:cantSplit/>
          <w:trHeight w:val="227"/>
          <w:jc w:val="center"/>
        </w:trPr>
        <w:tc>
          <w:tcPr>
            <w:tcW w:w="5445"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color w:val="000000"/>
                <w:sz w:val="20"/>
                <w:szCs w:val="20"/>
                <w:lang w:bidi="ar-SA"/>
              </w:rPr>
            </w:pPr>
            <w:r>
              <w:rPr>
                <w:rFonts w:eastAsia="Times New Roman" w:cs="Times New Roman"/>
                <w:color w:val="000000"/>
                <w:sz w:val="20"/>
                <w:szCs w:val="20"/>
                <w:lang w:bidi="ar-SA"/>
              </w:rPr>
              <w:t>paragraf 906 – UE</w:t>
            </w:r>
          </w:p>
        </w:tc>
        <w:tc>
          <w:tcPr>
            <w:tcW w:w="2410"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color w:val="000000"/>
                <w:sz w:val="20"/>
                <w:szCs w:val="20"/>
                <w:lang w:bidi="ar-SA"/>
              </w:rPr>
            </w:pPr>
            <w:r>
              <w:rPr>
                <w:rFonts w:eastAsia="Times New Roman" w:cs="Times New Roman"/>
                <w:color w:val="000000"/>
                <w:sz w:val="20"/>
                <w:szCs w:val="20"/>
                <w:lang w:bidi="ar-SA"/>
              </w:rPr>
              <w:t>2 898 229,26</w:t>
            </w:r>
          </w:p>
        </w:tc>
        <w:tc>
          <w:tcPr>
            <w:tcW w:w="2094"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color w:val="000000"/>
                <w:sz w:val="20"/>
                <w:szCs w:val="20"/>
                <w:lang w:bidi="ar-SA"/>
              </w:rPr>
            </w:pPr>
            <w:r>
              <w:rPr>
                <w:rFonts w:eastAsia="Times New Roman" w:cs="Times New Roman"/>
                <w:color w:val="000000"/>
                <w:sz w:val="20"/>
                <w:szCs w:val="20"/>
                <w:lang w:bidi="ar-SA"/>
              </w:rPr>
              <w:t>2 815 439,00</w:t>
            </w:r>
          </w:p>
        </w:tc>
        <w:tc>
          <w:tcPr>
            <w:tcW w:w="1914"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color w:val="000000"/>
                <w:sz w:val="20"/>
                <w:szCs w:val="20"/>
                <w:lang w:bidi="ar-SA"/>
              </w:rPr>
            </w:pPr>
            <w:r>
              <w:rPr>
                <w:rFonts w:eastAsia="Times New Roman" w:cs="Times New Roman"/>
                <w:color w:val="000000"/>
                <w:sz w:val="20"/>
                <w:szCs w:val="20"/>
                <w:lang w:bidi="ar-SA"/>
              </w:rPr>
              <w:t>2 815 439,00</w:t>
            </w:r>
          </w:p>
        </w:tc>
        <w:tc>
          <w:tcPr>
            <w:tcW w:w="1914"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color w:val="000000"/>
                <w:sz w:val="20"/>
                <w:szCs w:val="20"/>
                <w:lang w:bidi="ar-SA"/>
              </w:rPr>
            </w:pPr>
            <w:r>
              <w:rPr>
                <w:rFonts w:eastAsia="Times New Roman" w:cs="Times New Roman"/>
                <w:color w:val="000000"/>
                <w:sz w:val="20"/>
                <w:szCs w:val="20"/>
                <w:lang w:bidi="ar-SA"/>
              </w:rPr>
              <w:t>82 790,26</w:t>
            </w:r>
          </w:p>
        </w:tc>
      </w:tr>
      <w:tr>
        <w:tblPrEx>
          <w:tblW w:w="0" w:type="auto"/>
          <w:jc w:val="center"/>
          <w:tblLayout w:type="fixed"/>
          <w:tblCellMar>
            <w:left w:w="70" w:type="dxa"/>
            <w:right w:w="70" w:type="dxa"/>
          </w:tblCellMar>
          <w:tblLook w:val="04A0"/>
        </w:tblPrEx>
        <w:trPr>
          <w:cantSplit/>
          <w:trHeight w:val="227"/>
          <w:jc w:val="center"/>
        </w:trPr>
        <w:tc>
          <w:tcPr>
            <w:tcW w:w="5445"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b/>
                <w:color w:val="000000"/>
                <w:sz w:val="20"/>
                <w:szCs w:val="20"/>
                <w:lang w:bidi="ar-SA"/>
              </w:rPr>
            </w:pPr>
            <w:r>
              <w:rPr>
                <w:rFonts w:eastAsia="Times New Roman" w:cs="Times New Roman"/>
                <w:b/>
                <w:color w:val="000000"/>
                <w:sz w:val="20"/>
                <w:szCs w:val="20"/>
                <w:lang w:bidi="ar-SA"/>
              </w:rPr>
              <w:t>razem</w:t>
            </w:r>
          </w:p>
        </w:tc>
        <w:tc>
          <w:tcPr>
            <w:tcW w:w="2410"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color w:val="000000"/>
                <w:sz w:val="20"/>
                <w:szCs w:val="20"/>
                <w:lang w:bidi="ar-SA"/>
              </w:rPr>
            </w:pPr>
            <w:r>
              <w:rPr>
                <w:rFonts w:eastAsia="Times New Roman" w:cs="Times New Roman"/>
                <w:b/>
                <w:color w:val="000000"/>
                <w:sz w:val="20"/>
                <w:szCs w:val="20"/>
                <w:lang w:bidi="ar-SA"/>
              </w:rPr>
              <w:t>23 317 955,83</w:t>
            </w:r>
          </w:p>
        </w:tc>
        <w:tc>
          <w:tcPr>
            <w:tcW w:w="2094"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color w:val="000000"/>
                <w:sz w:val="20"/>
                <w:szCs w:val="20"/>
                <w:lang w:bidi="ar-SA"/>
              </w:rPr>
            </w:pPr>
            <w:r>
              <w:rPr>
                <w:rFonts w:eastAsia="Times New Roman" w:cs="Times New Roman"/>
                <w:b/>
                <w:color w:val="000000"/>
                <w:sz w:val="20"/>
                <w:szCs w:val="20"/>
                <w:lang w:bidi="ar-SA"/>
              </w:rPr>
              <w:t>20 781 273,00</w:t>
            </w:r>
          </w:p>
        </w:tc>
        <w:tc>
          <w:tcPr>
            <w:tcW w:w="1914"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color w:val="000000"/>
                <w:sz w:val="20"/>
                <w:szCs w:val="20"/>
                <w:lang w:bidi="ar-SA"/>
              </w:rPr>
            </w:pPr>
            <w:r>
              <w:rPr>
                <w:rFonts w:eastAsia="Times New Roman" w:cs="Times New Roman"/>
                <w:b/>
                <w:color w:val="000000"/>
                <w:sz w:val="20"/>
                <w:szCs w:val="20"/>
                <w:lang w:bidi="ar-SA"/>
              </w:rPr>
              <w:t>12 074 048,00</w:t>
            </w:r>
          </w:p>
        </w:tc>
        <w:tc>
          <w:tcPr>
            <w:tcW w:w="1914"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color w:val="000000"/>
                <w:sz w:val="20"/>
                <w:szCs w:val="20"/>
                <w:lang w:bidi="ar-SA"/>
              </w:rPr>
            </w:pPr>
            <w:r>
              <w:rPr>
                <w:rFonts w:eastAsia="Times New Roman" w:cs="Times New Roman"/>
                <w:b/>
                <w:color w:val="000000"/>
                <w:sz w:val="20"/>
                <w:szCs w:val="20"/>
                <w:lang w:bidi="ar-SA"/>
              </w:rPr>
              <w:t>11 243 907,83</w:t>
            </w:r>
          </w:p>
        </w:tc>
      </w:tr>
    </w:tbl>
    <w:p>
      <w:pPr>
        <w:keepNext w:val="0"/>
        <w:keepLines w:val="0"/>
        <w:widowControl/>
        <w:suppressLineNumbers w:val="0"/>
        <w:shd w:val="clear" w:color="auto" w:fill="auto"/>
        <w:suppressAutoHyphens w:val="0"/>
        <w:spacing w:before="240" w:beforeAutospacing="0" w:after="120" w:afterAutospacing="0" w:line="240" w:lineRule="auto"/>
        <w:ind w:left="340" w:right="0" w:firstLine="0"/>
        <w:contextualSpacing w:val="0"/>
        <w:jc w:val="both"/>
        <w:rPr>
          <w:rFonts w:eastAsia="Times New Roman" w:cs="Times New Roman"/>
          <w:szCs w:val="20"/>
          <w:lang w:bidi="ar-SA"/>
        </w:rPr>
      </w:pPr>
      <w:r>
        <w:rPr>
          <w:rFonts w:eastAsia="Times New Roman" w:cs="Times New Roman"/>
          <w:szCs w:val="20"/>
          <w:lang w:bidi="ar-SA"/>
        </w:rPr>
        <w:t>Przy projektowaniu budżetu na 2026 rok z kwoty 11 243 907,83 zł zaplanowano do wykorzystania w 2026 roku kwotę 10 973 804 zł, w tym 10 891 014 zł na realizację zadań w ramach Rządowego Funduszu Inwestycji Lokalnych i 82 790 zł na realizację projektu pn. „Podniesienie poziomu cyberbezpieczeństwa Gminy Bytom”. Natomiast kwota pozostająca do wykorzystania na realizację wydatków inwestycyjnych ze środków Rządowego Funduszu Inwestycji Lokalnych, której nie zaplanowano w projekcie budżetu na 2026 rok wynosi 270 104 zł.</w:t>
      </w:r>
    </w:p>
    <w:p>
      <w:pPr>
        <w:keepNext w:val="0"/>
        <w:keepLines w:val="0"/>
        <w:widowControl/>
        <w:suppressLineNumbers w:val="0"/>
        <w:shd w:val="clear" w:color="auto" w:fill="auto"/>
        <w:suppressAutoHyphens w:val="0"/>
        <w:spacing w:before="0" w:beforeAutospacing="0" w:after="120" w:afterAutospacing="0" w:line="240" w:lineRule="auto"/>
        <w:ind w:left="340" w:right="0" w:firstLine="0"/>
        <w:contextualSpacing w:val="0"/>
        <w:jc w:val="both"/>
        <w:rPr>
          <w:rFonts w:eastAsia="Times New Roman" w:cs="Times New Roman"/>
          <w:szCs w:val="20"/>
          <w:lang w:bidi="ar-SA"/>
        </w:rPr>
      </w:pPr>
      <w:r>
        <w:rPr>
          <w:rFonts w:eastAsia="Times New Roman" w:cs="Times New Roman"/>
          <w:szCs w:val="20"/>
          <w:lang w:bidi="ar-SA"/>
        </w:rPr>
        <w:t>Wyjaśniam ponadto, że kwota 10 891 014 zł dotyczy:</w:t>
      </w:r>
    </w:p>
    <w:p>
      <w:pPr>
        <w:keepNext w:val="0"/>
        <w:keepLines w:val="0"/>
        <w:widowControl/>
        <w:numPr>
          <w:ilvl w:val="0"/>
          <w:numId w:val="13"/>
        </w:numPr>
        <w:suppressLineNumbers w:val="0"/>
        <w:shd w:val="clear" w:color="auto" w:fill="auto"/>
        <w:suppressAutoHyphens w:val="0"/>
        <w:spacing w:before="0" w:beforeAutospacing="0" w:after="120" w:afterAutospacing="0" w:line="240" w:lineRule="auto"/>
        <w:ind w:left="720" w:right="0" w:hanging="360"/>
        <w:contextualSpacing w:val="0"/>
        <w:jc w:val="both"/>
        <w:rPr>
          <w:rFonts w:eastAsia="Times New Roman" w:cs="Times New Roman"/>
          <w:szCs w:val="20"/>
          <w:lang w:bidi="ar-SA"/>
        </w:rPr>
      </w:pPr>
      <w:r>
        <w:rPr>
          <w:rFonts w:eastAsia="Times New Roman" w:cs="Times New Roman"/>
          <w:szCs w:val="20"/>
          <w:lang w:bidi="ar-SA"/>
        </w:rPr>
        <w:t xml:space="preserve">niewykorzystanych w 2025 r. środków Rządowego Funduszu Inwestycji Lokalnych, które miasto otrzymało w roku 2020, w związku z przesunięciem na rok 2026 realizacji zadania pn. „Przebudowa ul. Nickla wraz ze skrzyżowaniem z ul. Daleką” (kwota 550 000 zł) oraz zadania pn. „Przebudowa ul. Frycza-Modrzewskiego” (kwota 8 707 225 zł), </w:t>
      </w:r>
    </w:p>
    <w:p>
      <w:pPr>
        <w:keepNext w:val="0"/>
        <w:keepLines w:val="0"/>
        <w:widowControl/>
        <w:numPr>
          <w:ilvl w:val="0"/>
          <w:numId w:val="13"/>
        </w:numPr>
        <w:suppressLineNumbers w:val="0"/>
        <w:shd w:val="clear" w:color="auto" w:fill="auto"/>
        <w:suppressAutoHyphens w:val="0"/>
        <w:spacing w:before="0" w:beforeAutospacing="0" w:after="120" w:afterAutospacing="0" w:line="240" w:lineRule="auto"/>
        <w:ind w:left="714" w:right="0" w:hanging="357"/>
        <w:contextualSpacing w:val="0"/>
        <w:jc w:val="both"/>
        <w:rPr>
          <w:rFonts w:eastAsia="Times New Roman" w:cs="Times New Roman"/>
          <w:szCs w:val="20"/>
          <w:lang w:bidi="ar-SA"/>
        </w:rPr>
      </w:pPr>
      <w:r>
        <w:rPr>
          <w:rFonts w:eastAsia="Times New Roman" w:cs="Times New Roman"/>
          <w:szCs w:val="20"/>
          <w:lang w:bidi="ar-SA"/>
        </w:rPr>
        <w:t xml:space="preserve">odsetek bankowych od środków Rządowego Funduszu Inwestycji Lokalnych pozostałych na rachunku bankowym budżetu na dzień 31.12.2024 r. w wysokości 1 633 788,82 zł, które nie zostały wykorzystane na realizację zadań inwestycyjnych w roku 2025. </w:t>
      </w:r>
    </w:p>
    <w:p>
      <w:pPr>
        <w:keepNext w:val="0"/>
        <w:keepLines w:val="0"/>
        <w:widowControl/>
        <w:suppressLineNumbers w:val="0"/>
        <w:shd w:val="clear" w:color="auto" w:fill="auto"/>
        <w:suppressAutoHyphens w:val="0"/>
        <w:spacing w:before="0" w:beforeAutospacing="0" w:after="120" w:afterAutospacing="0" w:line="240" w:lineRule="auto"/>
        <w:ind w:left="357" w:right="0" w:firstLine="0"/>
        <w:contextualSpacing w:val="0"/>
        <w:jc w:val="both"/>
        <w:rPr>
          <w:rFonts w:eastAsia="Times New Roman" w:cs="Times New Roman"/>
          <w:sz w:val="22"/>
          <w:szCs w:val="20"/>
          <w:lang w:bidi="ar-SA"/>
        </w:rPr>
      </w:pPr>
      <w:r>
        <w:rPr>
          <w:rFonts w:eastAsia="Times New Roman" w:cs="Times New Roman"/>
          <w:sz w:val="22"/>
          <w:szCs w:val="20"/>
          <w:lang w:bidi="ar-SA"/>
        </w:rPr>
        <w:t>Powyższe prezentuje tabela.</w:t>
      </w:r>
    </w:p>
    <w:tbl>
      <w:tblPr>
        <w:tblStyle w:val="TableNormal"/>
        <w:tblW w:w="0" w:type="auto"/>
        <w:jc w:val="center"/>
        <w:tblInd w:w="212" w:type="dxa"/>
        <w:tblLayout w:type="fixed"/>
        <w:tblCellMar>
          <w:left w:w="70" w:type="dxa"/>
          <w:right w:w="70" w:type="dxa"/>
        </w:tblCellMar>
        <w:tblLook w:val="04A0"/>
      </w:tblPr>
      <w:tblGrid>
        <w:gridCol w:w="2750"/>
        <w:gridCol w:w="2778"/>
        <w:gridCol w:w="3147"/>
        <w:gridCol w:w="2962"/>
        <w:gridCol w:w="2680"/>
      </w:tblGrid>
      <w:tr>
        <w:tblPrEx>
          <w:tblW w:w="0" w:type="auto"/>
          <w:jc w:val="center"/>
          <w:tblInd w:w="212" w:type="dxa"/>
          <w:tblLayout w:type="fixed"/>
          <w:tblCellMar>
            <w:left w:w="70" w:type="dxa"/>
            <w:right w:w="70" w:type="dxa"/>
          </w:tblCellMar>
          <w:tblLook w:val="04A0"/>
        </w:tblPrEx>
        <w:trPr>
          <w:cantSplit/>
          <w:trHeight w:val="227"/>
          <w:jc w:val="center"/>
        </w:trPr>
        <w:tc>
          <w:tcPr>
            <w:tcW w:w="2750" w:type="dxa"/>
            <w:tcBorders>
              <w:bottom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color w:val="000000"/>
                <w:sz w:val="20"/>
                <w:szCs w:val="20"/>
                <w:lang w:bidi="ar-SA"/>
              </w:rPr>
            </w:pPr>
          </w:p>
        </w:tc>
        <w:tc>
          <w:tcPr>
            <w:tcW w:w="2778" w:type="dxa"/>
            <w:tcBorders>
              <w:bottom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430" w:right="0" w:firstLine="0"/>
              <w:contextualSpacing w:val="0"/>
              <w:jc w:val="center"/>
              <w:rPr>
                <w:rFonts w:eastAsia="Times New Roman" w:cs="Times New Roman"/>
                <w:color w:val="000000"/>
                <w:sz w:val="20"/>
                <w:szCs w:val="20"/>
                <w:lang w:bidi="ar-SA"/>
              </w:rPr>
            </w:pPr>
          </w:p>
        </w:tc>
        <w:tc>
          <w:tcPr>
            <w:tcW w:w="3147" w:type="dxa"/>
            <w:tcBorders>
              <w:bottom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color w:val="000000"/>
                <w:sz w:val="20"/>
                <w:szCs w:val="20"/>
                <w:lang w:bidi="ar-SA"/>
              </w:rPr>
            </w:pPr>
          </w:p>
        </w:tc>
        <w:tc>
          <w:tcPr>
            <w:tcW w:w="2962" w:type="dxa"/>
            <w:tcBorders>
              <w:bottom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color w:val="000000"/>
                <w:sz w:val="20"/>
                <w:szCs w:val="20"/>
                <w:lang w:bidi="ar-SA"/>
              </w:rPr>
            </w:pPr>
          </w:p>
        </w:tc>
        <w:tc>
          <w:tcPr>
            <w:tcW w:w="2680" w:type="dxa"/>
            <w:tcBorders>
              <w:bottom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color w:val="000000"/>
                <w:sz w:val="20"/>
                <w:szCs w:val="20"/>
                <w:lang w:bidi="ar-SA"/>
              </w:rPr>
            </w:pPr>
            <w:r>
              <w:rPr>
                <w:rFonts w:eastAsia="Times New Roman" w:cs="Times New Roman"/>
                <w:sz w:val="16"/>
                <w:szCs w:val="20"/>
                <w:lang w:bidi="ar-SA"/>
              </w:rPr>
              <w:t>kwota w zł</w:t>
            </w:r>
            <w:r>
              <w:rPr>
                <w:rFonts w:eastAsia="Times New Roman" w:cs="Times New Roman"/>
                <w:sz w:val="16"/>
                <w:szCs w:val="20"/>
              </w:rPr>
              <w:t>otych</w:t>
            </w:r>
          </w:p>
        </w:tc>
      </w:tr>
      <w:tr>
        <w:tblPrEx>
          <w:tblW w:w="0" w:type="auto"/>
          <w:jc w:val="center"/>
          <w:tblInd w:w="212" w:type="dxa"/>
          <w:tblLayout w:type="fixed"/>
          <w:tblCellMar>
            <w:left w:w="70" w:type="dxa"/>
            <w:right w:w="70" w:type="dxa"/>
          </w:tblCellMar>
          <w:tblLook w:val="04A0"/>
        </w:tblPrEx>
        <w:trPr>
          <w:cantSplit/>
          <w:trHeight w:val="907"/>
          <w:jc w:val="center"/>
        </w:trPr>
        <w:tc>
          <w:tcPr>
            <w:tcW w:w="2750" w:type="dxa"/>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color w:val="000000"/>
                <w:sz w:val="16"/>
                <w:szCs w:val="20"/>
                <w:lang w:bidi="ar-SA"/>
              </w:rPr>
            </w:pPr>
            <w:r>
              <w:rPr>
                <w:rFonts w:eastAsia="Times New Roman" w:cs="Times New Roman"/>
                <w:color w:val="000000"/>
                <w:sz w:val="16"/>
                <w:szCs w:val="20"/>
                <w:lang w:bidi="ar-SA"/>
              </w:rPr>
              <w:t>różnica wykonanie minus plan na 31.10.2025</w:t>
            </w:r>
          </w:p>
        </w:tc>
        <w:tc>
          <w:tcPr>
            <w:tcW w:w="2778" w:type="dxa"/>
            <w:tcBorders>
              <w:top w:val="single" w:sz="4" w:space="0" w:color="auto"/>
              <w:left w:val="nil"/>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430" w:right="0" w:firstLine="0"/>
              <w:contextualSpacing w:val="0"/>
              <w:jc w:val="center"/>
              <w:rPr>
                <w:rFonts w:eastAsia="Times New Roman" w:cs="Times New Roman"/>
                <w:color w:val="000000"/>
                <w:sz w:val="16"/>
                <w:szCs w:val="20"/>
                <w:lang w:bidi="ar-SA"/>
              </w:rPr>
            </w:pPr>
            <w:r>
              <w:rPr>
                <w:rFonts w:eastAsia="Times New Roman" w:cs="Times New Roman"/>
                <w:color w:val="000000"/>
                <w:sz w:val="16"/>
                <w:szCs w:val="20"/>
                <w:lang w:bidi="ar-SA"/>
              </w:rPr>
              <w:t>z tego zaplanowano w 2026 r.</w:t>
            </w:r>
          </w:p>
        </w:tc>
        <w:tc>
          <w:tcPr>
            <w:tcW w:w="3147" w:type="dxa"/>
            <w:tcBorders>
              <w:top w:val="single" w:sz="4" w:space="0" w:color="auto"/>
              <w:left w:val="nil"/>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color w:val="000000"/>
                <w:sz w:val="16"/>
                <w:szCs w:val="20"/>
                <w:lang w:bidi="ar-SA"/>
              </w:rPr>
            </w:pPr>
            <w:r>
              <w:rPr>
                <w:rFonts w:eastAsia="Times New Roman" w:cs="Times New Roman"/>
                <w:color w:val="000000"/>
                <w:sz w:val="16"/>
                <w:szCs w:val="20"/>
                <w:lang w:bidi="ar-SA"/>
              </w:rPr>
              <w:t>z tego nie zaplanowano w 2026 r. – oszczędności na inwestycjach RFIL, które nie zostały jeszcze przeznaczone na nowe inwestycje</w:t>
            </w:r>
          </w:p>
        </w:tc>
        <w:tc>
          <w:tcPr>
            <w:tcW w:w="2962" w:type="dxa"/>
            <w:tcBorders>
              <w:top w:val="single" w:sz="4" w:space="0" w:color="auto"/>
              <w:left w:val="nil"/>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color w:val="000000"/>
                <w:sz w:val="16"/>
                <w:szCs w:val="20"/>
                <w:lang w:bidi="ar-SA"/>
              </w:rPr>
            </w:pPr>
            <w:r>
              <w:rPr>
                <w:rFonts w:eastAsia="Times New Roman" w:cs="Times New Roman"/>
                <w:color w:val="000000"/>
                <w:sz w:val="16"/>
                <w:szCs w:val="20"/>
                <w:lang w:bidi="ar-SA"/>
              </w:rPr>
              <w:t>dochody roku 2025, które ze względu na brak wydatków w roku 2026 staną się przychodami roku 2026</w:t>
            </w:r>
          </w:p>
        </w:tc>
        <w:tc>
          <w:tcPr>
            <w:tcW w:w="2680" w:type="dxa"/>
            <w:tcBorders>
              <w:top w:val="single" w:sz="4" w:space="0" w:color="auto"/>
              <w:left w:val="nil"/>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color w:val="000000"/>
                <w:sz w:val="16"/>
                <w:szCs w:val="20"/>
                <w:lang w:bidi="ar-SA"/>
              </w:rPr>
            </w:pPr>
            <w:r>
              <w:rPr>
                <w:rFonts w:eastAsia="Times New Roman" w:cs="Times New Roman"/>
                <w:color w:val="000000"/>
                <w:sz w:val="16"/>
                <w:szCs w:val="20"/>
                <w:lang w:bidi="ar-SA"/>
              </w:rPr>
              <w:t>zaplanowane przychody w projekcie budżetu na 2026 r.</w:t>
            </w:r>
          </w:p>
        </w:tc>
      </w:tr>
      <w:tr>
        <w:tblPrEx>
          <w:tblW w:w="0" w:type="auto"/>
          <w:jc w:val="center"/>
          <w:tblInd w:w="212" w:type="dxa"/>
          <w:tblLayout w:type="fixed"/>
          <w:tblCellMar>
            <w:left w:w="70" w:type="dxa"/>
            <w:right w:w="70" w:type="dxa"/>
          </w:tblCellMar>
          <w:tblLook w:val="04A0"/>
        </w:tblPrEx>
        <w:trPr>
          <w:trHeight w:val="227"/>
          <w:jc w:val="center"/>
        </w:trPr>
        <w:tc>
          <w:tcPr>
            <w:tcW w:w="2750"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color w:val="000000"/>
                <w:sz w:val="20"/>
                <w:szCs w:val="20"/>
                <w:lang w:bidi="ar-SA"/>
              </w:rPr>
            </w:pPr>
            <w:r>
              <w:rPr>
                <w:rFonts w:eastAsia="Times New Roman" w:cs="Times New Roman"/>
                <w:color w:val="000000"/>
                <w:sz w:val="20"/>
                <w:szCs w:val="20"/>
                <w:lang w:bidi="ar-SA"/>
              </w:rPr>
              <w:t>11 161 117,57</w:t>
            </w:r>
          </w:p>
        </w:tc>
        <w:tc>
          <w:tcPr>
            <w:tcW w:w="2778"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color w:val="000000"/>
                <w:sz w:val="20"/>
                <w:szCs w:val="20"/>
                <w:lang w:bidi="ar-SA"/>
              </w:rPr>
            </w:pPr>
            <w:r>
              <w:rPr>
                <w:rFonts w:eastAsia="Times New Roman" w:cs="Times New Roman"/>
                <w:color w:val="000000"/>
                <w:sz w:val="20"/>
                <w:szCs w:val="20"/>
                <w:lang w:bidi="ar-SA"/>
              </w:rPr>
              <w:t>10 891 014,00</w:t>
            </w:r>
          </w:p>
        </w:tc>
        <w:tc>
          <w:tcPr>
            <w:tcW w:w="3147"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color w:val="000000"/>
                <w:sz w:val="20"/>
                <w:szCs w:val="20"/>
                <w:lang w:bidi="ar-SA"/>
              </w:rPr>
            </w:pPr>
            <w:r>
              <w:rPr>
                <w:rFonts w:eastAsia="Times New Roman" w:cs="Times New Roman"/>
                <w:color w:val="000000"/>
                <w:sz w:val="20"/>
                <w:szCs w:val="20"/>
                <w:lang w:bidi="ar-SA"/>
              </w:rPr>
              <w:t>270 104,00</w:t>
            </w:r>
          </w:p>
        </w:tc>
        <w:tc>
          <w:tcPr>
            <w:tcW w:w="2962"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color w:val="000000"/>
                <w:sz w:val="20"/>
                <w:szCs w:val="20"/>
                <w:lang w:bidi="ar-SA"/>
              </w:rPr>
            </w:pPr>
            <w:r>
              <w:rPr>
                <w:rFonts w:eastAsia="Times New Roman" w:cs="Times New Roman"/>
                <w:color w:val="000000"/>
                <w:sz w:val="20"/>
                <w:szCs w:val="20"/>
                <w:lang w:bidi="ar-SA"/>
              </w:rPr>
              <w:t>648 469,00</w:t>
            </w:r>
          </w:p>
        </w:tc>
        <w:tc>
          <w:tcPr>
            <w:tcW w:w="2680"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color w:val="000000"/>
                <w:sz w:val="20"/>
                <w:szCs w:val="20"/>
                <w:lang w:bidi="ar-SA"/>
              </w:rPr>
            </w:pPr>
            <w:r>
              <w:rPr>
                <w:rFonts w:eastAsia="Times New Roman" w:cs="Times New Roman"/>
                <w:color w:val="000000"/>
                <w:sz w:val="20"/>
                <w:szCs w:val="20"/>
                <w:lang w:bidi="ar-SA"/>
              </w:rPr>
              <w:t>11 539 483,00</w:t>
            </w:r>
          </w:p>
        </w:tc>
      </w:tr>
      <w:tr>
        <w:tblPrEx>
          <w:tblW w:w="0" w:type="auto"/>
          <w:jc w:val="center"/>
          <w:tblInd w:w="212" w:type="dxa"/>
          <w:tblLayout w:type="fixed"/>
          <w:tblCellMar>
            <w:left w:w="70" w:type="dxa"/>
            <w:right w:w="70" w:type="dxa"/>
          </w:tblCellMar>
          <w:tblLook w:val="04A0"/>
        </w:tblPrEx>
        <w:trPr>
          <w:trHeight w:val="227"/>
          <w:jc w:val="center"/>
        </w:trPr>
        <w:tc>
          <w:tcPr>
            <w:tcW w:w="2750"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color w:val="000000"/>
                <w:sz w:val="20"/>
                <w:szCs w:val="20"/>
                <w:lang w:bidi="ar-SA"/>
              </w:rPr>
            </w:pPr>
            <w:r>
              <w:rPr>
                <w:rFonts w:eastAsia="Times New Roman" w:cs="Times New Roman"/>
                <w:color w:val="000000"/>
                <w:sz w:val="20"/>
                <w:szCs w:val="20"/>
                <w:lang w:bidi="ar-SA"/>
              </w:rPr>
              <w:t>82 790,26</w:t>
            </w:r>
          </w:p>
        </w:tc>
        <w:tc>
          <w:tcPr>
            <w:tcW w:w="2778"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color w:val="000000"/>
                <w:sz w:val="20"/>
                <w:szCs w:val="20"/>
                <w:lang w:bidi="ar-SA"/>
              </w:rPr>
            </w:pPr>
            <w:r>
              <w:rPr>
                <w:rFonts w:eastAsia="Times New Roman" w:cs="Times New Roman"/>
                <w:color w:val="000000"/>
                <w:sz w:val="20"/>
                <w:szCs w:val="20"/>
                <w:lang w:bidi="ar-SA"/>
              </w:rPr>
              <w:t>82 790,00</w:t>
            </w:r>
          </w:p>
        </w:tc>
        <w:tc>
          <w:tcPr>
            <w:tcW w:w="3147"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color w:val="000000"/>
                <w:sz w:val="20"/>
                <w:szCs w:val="20"/>
                <w:lang w:bidi="ar-SA"/>
              </w:rPr>
            </w:pPr>
            <w:r>
              <w:rPr>
                <w:rFonts w:eastAsia="Times New Roman" w:cs="Times New Roman"/>
                <w:color w:val="000000"/>
                <w:sz w:val="20"/>
                <w:szCs w:val="20"/>
                <w:lang w:bidi="ar-SA"/>
              </w:rPr>
              <w:t> </w:t>
            </w:r>
          </w:p>
        </w:tc>
        <w:tc>
          <w:tcPr>
            <w:tcW w:w="2962"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color w:val="000000"/>
                <w:sz w:val="20"/>
                <w:szCs w:val="20"/>
                <w:lang w:bidi="ar-SA"/>
              </w:rPr>
            </w:pPr>
            <w:r>
              <w:rPr>
                <w:rFonts w:eastAsia="Times New Roman" w:cs="Times New Roman"/>
                <w:color w:val="000000"/>
                <w:sz w:val="20"/>
                <w:szCs w:val="20"/>
                <w:lang w:bidi="ar-SA"/>
              </w:rPr>
              <w:t>1 412 074,00</w:t>
            </w:r>
          </w:p>
        </w:tc>
        <w:tc>
          <w:tcPr>
            <w:tcW w:w="2680"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color w:val="000000"/>
                <w:sz w:val="20"/>
                <w:szCs w:val="20"/>
                <w:lang w:bidi="ar-SA"/>
              </w:rPr>
            </w:pPr>
            <w:r>
              <w:rPr>
                <w:rFonts w:eastAsia="Times New Roman" w:cs="Times New Roman"/>
                <w:color w:val="000000"/>
                <w:sz w:val="20"/>
                <w:szCs w:val="20"/>
                <w:lang w:bidi="ar-SA"/>
              </w:rPr>
              <w:t>1 494 864,00</w:t>
            </w:r>
          </w:p>
        </w:tc>
      </w:tr>
      <w:tr>
        <w:tblPrEx>
          <w:tblW w:w="0" w:type="auto"/>
          <w:jc w:val="center"/>
          <w:tblInd w:w="212" w:type="dxa"/>
          <w:tblLayout w:type="fixed"/>
          <w:tblCellMar>
            <w:left w:w="70" w:type="dxa"/>
            <w:right w:w="70" w:type="dxa"/>
          </w:tblCellMar>
          <w:tblLook w:val="04A0"/>
        </w:tblPrEx>
        <w:trPr>
          <w:trHeight w:val="227"/>
          <w:jc w:val="center"/>
        </w:trPr>
        <w:tc>
          <w:tcPr>
            <w:tcW w:w="2750"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color w:val="000000"/>
                <w:sz w:val="20"/>
                <w:szCs w:val="20"/>
                <w:lang w:bidi="ar-SA"/>
              </w:rPr>
            </w:pPr>
            <w:r>
              <w:rPr>
                <w:rFonts w:eastAsia="Times New Roman" w:cs="Times New Roman"/>
                <w:b/>
                <w:color w:val="000000"/>
                <w:sz w:val="20"/>
                <w:szCs w:val="20"/>
                <w:lang w:bidi="ar-SA"/>
              </w:rPr>
              <w:t>11 243 907,83</w:t>
            </w:r>
          </w:p>
        </w:tc>
        <w:tc>
          <w:tcPr>
            <w:tcW w:w="2778"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color w:val="000000"/>
                <w:sz w:val="20"/>
                <w:szCs w:val="20"/>
                <w:lang w:bidi="ar-SA"/>
              </w:rPr>
            </w:pPr>
            <w:r>
              <w:rPr>
                <w:rFonts w:eastAsia="Times New Roman" w:cs="Times New Roman"/>
                <w:b/>
                <w:color w:val="000000"/>
                <w:sz w:val="20"/>
                <w:szCs w:val="20"/>
                <w:lang w:bidi="ar-SA"/>
              </w:rPr>
              <w:t>10 973 804,00</w:t>
            </w:r>
          </w:p>
        </w:tc>
        <w:tc>
          <w:tcPr>
            <w:tcW w:w="3147"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color w:val="000000"/>
                <w:sz w:val="20"/>
                <w:szCs w:val="20"/>
                <w:lang w:bidi="ar-SA"/>
              </w:rPr>
            </w:pPr>
            <w:r>
              <w:rPr>
                <w:rFonts w:eastAsia="Times New Roman" w:cs="Times New Roman"/>
                <w:b/>
                <w:color w:val="000000"/>
                <w:sz w:val="20"/>
                <w:szCs w:val="20"/>
                <w:lang w:bidi="ar-SA"/>
              </w:rPr>
              <w:t>270 104,00</w:t>
            </w:r>
          </w:p>
        </w:tc>
        <w:tc>
          <w:tcPr>
            <w:tcW w:w="2962"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color w:val="000000"/>
                <w:sz w:val="20"/>
                <w:szCs w:val="20"/>
                <w:lang w:bidi="ar-SA"/>
              </w:rPr>
            </w:pPr>
            <w:r>
              <w:rPr>
                <w:rFonts w:eastAsia="Times New Roman" w:cs="Times New Roman"/>
                <w:b/>
                <w:color w:val="000000"/>
                <w:sz w:val="20"/>
                <w:szCs w:val="20"/>
                <w:lang w:bidi="ar-SA"/>
              </w:rPr>
              <w:t>2 060 543,00</w:t>
            </w:r>
          </w:p>
        </w:tc>
        <w:tc>
          <w:tcPr>
            <w:tcW w:w="2680" w:type="dxa"/>
            <w:tcBorders>
              <w:top w:val="single" w:sz="4" w:space="0" w:color="auto"/>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color w:val="000000"/>
                <w:sz w:val="20"/>
                <w:szCs w:val="20"/>
                <w:lang w:bidi="ar-SA"/>
              </w:rPr>
            </w:pPr>
            <w:r>
              <w:rPr>
                <w:rFonts w:eastAsia="Times New Roman" w:cs="Times New Roman"/>
                <w:b/>
                <w:color w:val="000000"/>
                <w:sz w:val="20"/>
                <w:szCs w:val="20"/>
                <w:lang w:bidi="ar-SA"/>
              </w:rPr>
              <w:t>13 034 347,00</w:t>
            </w:r>
          </w:p>
        </w:tc>
      </w:tr>
    </w:tbl>
    <w:p>
      <w:pPr>
        <w:keepNext w:val="0"/>
        <w:keepLines w:val="0"/>
        <w:widowControl/>
        <w:suppressLineNumbers w:val="0"/>
        <w:shd w:val="clear" w:color="auto" w:fill="auto"/>
        <w:suppressAutoHyphens w:val="0"/>
        <w:spacing w:before="240" w:beforeAutospacing="0" w:after="120" w:afterAutospacing="0" w:line="240" w:lineRule="auto"/>
        <w:ind w:left="340" w:right="0" w:firstLine="0"/>
        <w:contextualSpacing w:val="0"/>
        <w:jc w:val="both"/>
        <w:rPr>
          <w:rFonts w:eastAsia="Times New Roman" w:cs="Times New Roman"/>
          <w:szCs w:val="20"/>
          <w:lang w:bidi="ar-SA"/>
        </w:rPr>
      </w:pPr>
      <w:r>
        <w:rPr>
          <w:rFonts w:eastAsia="Times New Roman" w:cs="Times New Roman"/>
          <w:szCs w:val="20"/>
          <w:lang w:bidi="ar-SA"/>
        </w:rPr>
        <w:t>Jednocześnie wyjaśniam, że w planie przychodów na rok 2026 z tytułu niewykorzystanych środków pieniężnych, o których mowa w art. 217 ust. 2 pkt 8 ustawy o finansach publicznych ujęto planowaną nadwyżkę środków na rachunku budżetu w kwocie 2 060 543 zł, w tym w zakresie:</w:t>
      </w:r>
    </w:p>
    <w:p>
      <w:pPr>
        <w:keepNext w:val="0"/>
        <w:keepLines w:val="0"/>
        <w:widowControl/>
        <w:numPr>
          <w:ilvl w:val="0"/>
          <w:numId w:val="14"/>
        </w:numPr>
        <w:suppressLineNumbers w:val="0"/>
        <w:shd w:val="clear" w:color="auto" w:fill="auto"/>
        <w:suppressAutoHyphens w:val="0"/>
        <w:spacing w:before="0" w:beforeAutospacing="0" w:after="120" w:afterAutospacing="0" w:line="240" w:lineRule="auto"/>
        <w:ind w:left="680" w:right="0" w:hanging="340"/>
        <w:contextualSpacing w:val="0"/>
        <w:jc w:val="both"/>
        <w:rPr>
          <w:rFonts w:eastAsia="Times New Roman" w:cs="Times New Roman"/>
          <w:szCs w:val="20"/>
          <w:lang w:bidi="ar-SA"/>
        </w:rPr>
      </w:pPr>
      <w:r>
        <w:rPr>
          <w:rFonts w:eastAsia="Times New Roman" w:cs="Times New Roman"/>
          <w:szCs w:val="20"/>
          <w:lang w:bidi="ar-SA"/>
        </w:rPr>
        <w:t>odsetek bankowych naliczonych w 2025 r. od środków Rządowego Funduszu Inwestycji Lokalnych w kwocie 648 469 zł, które nie zostały w roku 2025 przeznaczone na realizację wydatków inwestycyjnych. Dochody wykonane z tytułu odsetek bankowych naliczonych na odrębnym rachunku bankowym dot. środków RFIL wyniosły na 31 października 2025 r. 600 445,18 zł, a na 30 listopada 2025 r. 643 539,76 zł. W roku 2025 nie planuje się wykorzystania odsetek bankowych na sfinansowanie zadań inwestycyjnych.</w:t>
      </w:r>
    </w:p>
    <w:p>
      <w:pPr>
        <w:keepNext w:val="0"/>
        <w:keepLines w:val="0"/>
        <w:widowControl/>
        <w:numPr>
          <w:ilvl w:val="0"/>
          <w:numId w:val="14"/>
        </w:numPr>
        <w:suppressLineNumbers w:val="0"/>
        <w:shd w:val="clear" w:color="auto" w:fill="auto"/>
        <w:suppressAutoHyphens w:val="0"/>
        <w:spacing w:before="0" w:beforeAutospacing="0" w:after="120" w:afterAutospacing="0" w:line="240" w:lineRule="auto"/>
        <w:ind w:left="680" w:right="0" w:hanging="340"/>
        <w:contextualSpacing w:val="0"/>
        <w:jc w:val="both"/>
        <w:rPr>
          <w:rFonts w:eastAsia="Times New Roman" w:cs="Times New Roman"/>
          <w:szCs w:val="20"/>
          <w:lang w:bidi="ar-SA"/>
        </w:rPr>
      </w:pPr>
      <w:r>
        <w:rPr>
          <w:rFonts w:eastAsia="Times New Roman" w:cs="Times New Roman"/>
          <w:szCs w:val="20"/>
          <w:lang w:bidi="ar-SA"/>
        </w:rPr>
        <w:t>projektów współfinansowanych środkami europejskimi, wyliczoną jako różnica pomiędzy zgromadzonymi do dnia 31 października 2025 r. dochodami z tytułu otrzymanego dofinansowania na realizację projektów a kwotą wydatków planowanych do poniesienia w 2025 r. według stanu na dzień 31 października 2025 r. Nadwyżkę wyliczono odrębnie dla każdego realizowanego projektu, współfinansowanego środkami europejskimi.</w:t>
      </w:r>
    </w:p>
    <w:p>
      <w:pPr>
        <w:keepNext w:val="0"/>
        <w:keepLines w:val="0"/>
        <w:widowControl/>
        <w:suppressLineNumbers w:val="0"/>
        <w:shd w:val="clear" w:color="auto" w:fill="auto"/>
        <w:suppressAutoHyphens w:val="0"/>
        <w:spacing w:before="120" w:beforeAutospacing="0" w:after="120" w:afterAutospacing="0" w:line="240" w:lineRule="auto"/>
        <w:ind w:left="340" w:right="0" w:firstLine="0"/>
        <w:contextualSpacing w:val="0"/>
        <w:jc w:val="both"/>
        <w:rPr>
          <w:rFonts w:eastAsia="Times New Roman" w:cs="Times New Roman"/>
          <w:szCs w:val="20"/>
          <w:lang w:bidi="ar-SA"/>
        </w:rPr>
      </w:pPr>
      <w:r>
        <w:rPr>
          <w:rFonts w:eastAsia="Times New Roman" w:cs="Times New Roman"/>
          <w:szCs w:val="20"/>
          <w:lang w:bidi="ar-SA"/>
        </w:rPr>
        <w:t>Dodatkowo w związku z przeniesieniem realizacji części wydatków w ramach projektów unijnych na rok 2026 w autopoprawce do projektu budżetu na 2026 rok zmianie uległa kwota planowanych przychodów z tytułu niewykorzystanych środków pieniężnych, o których mowa w art. 217 ust. 2 pkt 8 i ostatecznie wynosi</w:t>
      </w:r>
      <w:r>
        <w:rPr>
          <w:rFonts w:eastAsia="Times New Roman" w:cs="Times New Roman"/>
          <w:b/>
          <w:szCs w:val="20"/>
          <w:lang w:bidi="ar-SA"/>
        </w:rPr>
        <w:t xml:space="preserve"> 16 495 579 zł</w:t>
      </w:r>
      <w:r>
        <w:rPr>
          <w:rFonts w:eastAsia="Times New Roman" w:cs="Times New Roman"/>
          <w:szCs w:val="20"/>
          <w:lang w:bidi="ar-SA"/>
        </w:rPr>
        <w:t>, z czego:</w:t>
      </w:r>
    </w:p>
    <w:p>
      <w:pPr>
        <w:keepNext w:val="0"/>
        <w:keepLines w:val="0"/>
        <w:widowControl/>
        <w:numPr>
          <w:ilvl w:val="0"/>
          <w:numId w:val="15"/>
        </w:numPr>
        <w:suppressLineNumbers w:val="0"/>
        <w:shd w:val="clear" w:color="auto" w:fill="auto"/>
        <w:suppressAutoHyphens w:val="0"/>
        <w:spacing w:before="120" w:beforeAutospacing="0" w:after="120" w:afterAutospacing="0" w:line="240" w:lineRule="auto"/>
        <w:ind w:left="680" w:right="0" w:hanging="340"/>
        <w:contextualSpacing w:val="0"/>
        <w:jc w:val="both"/>
        <w:rPr>
          <w:rFonts w:eastAsia="Times New Roman" w:cs="Times New Roman"/>
          <w:szCs w:val="20"/>
          <w:lang w:bidi="ar-SA"/>
        </w:rPr>
      </w:pPr>
      <w:r>
        <w:rPr>
          <w:rFonts w:eastAsia="Times New Roman" w:cs="Times New Roman"/>
          <w:szCs w:val="20"/>
          <w:lang w:bidi="ar-SA"/>
        </w:rPr>
        <w:t>kwota 11 539 483 zł planowana jest na finansowanie wydatków realizowanych ze środków Rządowego Funduszu Inwestycji Lokalnych i nie uległa zmianie w odniesieniu do projektu uchwały budżetowej na 2026 r.,</w:t>
      </w:r>
    </w:p>
    <w:p>
      <w:pPr>
        <w:keepNext w:val="0"/>
        <w:keepLines w:val="0"/>
        <w:widowControl/>
        <w:numPr>
          <w:ilvl w:val="0"/>
          <w:numId w:val="15"/>
        </w:numPr>
        <w:suppressLineNumbers w:val="0"/>
        <w:shd w:val="clear" w:color="auto" w:fill="auto"/>
        <w:suppressAutoHyphens w:val="0"/>
        <w:spacing w:before="120" w:beforeAutospacing="0" w:after="120" w:afterAutospacing="0" w:line="240" w:lineRule="auto"/>
        <w:ind w:left="680" w:right="0" w:hanging="340"/>
        <w:contextualSpacing w:val="0"/>
        <w:jc w:val="both"/>
        <w:rPr>
          <w:rFonts w:eastAsia="Times New Roman" w:cs="Times New Roman"/>
          <w:szCs w:val="20"/>
          <w:lang w:bidi="ar-SA"/>
        </w:rPr>
      </w:pPr>
      <w:r>
        <w:rPr>
          <w:rFonts w:eastAsia="Times New Roman" w:cs="Times New Roman"/>
          <w:szCs w:val="20"/>
          <w:lang w:bidi="ar-SA"/>
        </w:rPr>
        <w:t>kwota 4 956 096 zł planowana jest na finansowanie wydatków projektów współfinansowanych środkami europejskimi i zwiększyła się w porównaniu do projektu budżetu o kwotę 3 461 232 zł, która dotyczy zadań:</w:t>
      </w:r>
    </w:p>
    <w:p>
      <w:pPr>
        <w:keepNext w:val="0"/>
        <w:keepLines w:val="0"/>
        <w:widowControl/>
        <w:numPr>
          <w:ilvl w:val="0"/>
          <w:numId w:val="16"/>
        </w:numPr>
        <w:suppressLineNumbers w:val="0"/>
        <w:shd w:val="clear" w:color="auto" w:fill="auto"/>
        <w:suppressAutoHyphens w:val="0"/>
        <w:spacing w:before="0" w:beforeAutospacing="0" w:after="120" w:afterAutospacing="0" w:line="240" w:lineRule="auto"/>
        <w:ind w:left="1020" w:right="0" w:hanging="340"/>
        <w:contextualSpacing w:val="0"/>
        <w:jc w:val="both"/>
        <w:rPr>
          <w:rFonts w:eastAsia="Times New Roman" w:cs="Times New Roman"/>
          <w:szCs w:val="20"/>
          <w:lang w:bidi="ar-SA"/>
        </w:rPr>
      </w:pPr>
      <w:r>
        <w:rPr>
          <w:rFonts w:eastAsia="Times New Roman" w:cs="Times New Roman"/>
          <w:szCs w:val="20"/>
          <w:lang w:bidi="ar-SA"/>
        </w:rPr>
        <w:t>„Podniesienie poziomu cyberbezpieczeństwa Gminy Bytom” o kwotę 476 700 zł, dla którego zgodnie z Wieloletnią Prognozą Finansową realizacja wszystkich wydatków została przeniesiona na rok 2026. Na dzień 15 grudnia 2025 r. na wyodrębnionym rachunku budżetu dot. ww. projektu pozostaje kwota 794 500 zł;</w:t>
      </w:r>
    </w:p>
    <w:p>
      <w:pPr>
        <w:keepNext w:val="0"/>
        <w:keepLines w:val="0"/>
        <w:widowControl/>
        <w:numPr>
          <w:ilvl w:val="0"/>
          <w:numId w:val="16"/>
        </w:numPr>
        <w:suppressLineNumbers w:val="0"/>
        <w:shd w:val="clear" w:color="auto" w:fill="auto"/>
        <w:suppressAutoHyphens w:val="0"/>
        <w:spacing w:before="0" w:beforeAutospacing="0" w:after="120" w:afterAutospacing="0" w:line="240" w:lineRule="auto"/>
        <w:ind w:left="1020" w:right="0" w:hanging="340"/>
        <w:contextualSpacing w:val="0"/>
        <w:jc w:val="both"/>
        <w:rPr>
          <w:rFonts w:eastAsia="Times New Roman" w:cs="Times New Roman"/>
          <w:szCs w:val="20"/>
          <w:lang w:bidi="ar-SA"/>
        </w:rPr>
      </w:pPr>
      <w:r>
        <w:rPr>
          <w:rFonts w:eastAsia="Times New Roman" w:cs="Times New Roman"/>
          <w:szCs w:val="20"/>
          <w:lang w:bidi="ar-SA"/>
        </w:rPr>
        <w:t xml:space="preserve">„Biznes na zicher – 100 tysięcy na start” o kwotę 2 984 532 zł, dla którego zgodnie z Wieloletnią Prognozą Finansową realizacja wydatków na ww. kwotę została przeniesiona na rok 2026. </w:t>
      </w:r>
    </w:p>
    <w:p>
      <w:pPr>
        <w:keepNext w:val="0"/>
        <w:keepLines w:val="0"/>
        <w:widowControl/>
        <w:suppressLineNumbers w:val="0"/>
        <w:shd w:val="clear" w:color="auto" w:fill="auto"/>
        <w:suppressAutoHyphens w:val="0"/>
        <w:spacing w:before="0" w:beforeAutospacing="0" w:after="0" w:afterAutospacing="0" w:line="240" w:lineRule="auto"/>
        <w:ind w:left="340" w:right="0" w:firstLine="0"/>
        <w:contextualSpacing w:val="0"/>
        <w:jc w:val="both"/>
        <w:rPr>
          <w:rFonts w:eastAsia="Times New Roman" w:cs="Times New Roman"/>
          <w:szCs w:val="20"/>
          <w:lang w:bidi="ar-SA"/>
        </w:rPr>
      </w:pPr>
      <w:r>
        <w:rPr>
          <w:rFonts w:eastAsia="Times New Roman" w:cs="Times New Roman"/>
          <w:szCs w:val="20"/>
          <w:lang w:bidi="ar-SA"/>
        </w:rPr>
        <w:t xml:space="preserve">Reasumując, zaplanowane w budżecie na 2026 rok przychody z tytułu niewykorzystanych środków pieniężnych, o których mowa w art. 217 ust. 2 pkt 8 w kwocie 16 495 579 zł są realne do osiągnięcia, bowiem wyliczenia potencjalnych nadwyżek oparto o faktycznie zgromadzone na odrębnych rachunkach bankowych środki dofinansowania oraz możliwe do poniesienia wydatki wynikające z planu finansowego na 2025 r. w zakresie ww. projektów. </w:t>
      </w:r>
    </w:p>
    <w:p>
      <w:pPr>
        <w:keepNext w:val="0"/>
        <w:keepLines w:val="0"/>
        <w:widowControl/>
        <w:numPr>
          <w:ilvl w:val="0"/>
          <w:numId w:val="10"/>
        </w:numPr>
        <w:suppressLineNumbers w:val="0"/>
        <w:shd w:val="clear" w:color="auto" w:fill="auto"/>
        <w:tabs>
          <w:tab w:val="clear" w:pos="4536"/>
          <w:tab w:val="clear" w:pos="9072"/>
        </w:tabs>
        <w:suppressAutoHyphens w:val="0"/>
        <w:spacing w:before="240" w:beforeAutospacing="0" w:after="120" w:afterAutospacing="0" w:line="240" w:lineRule="auto"/>
        <w:ind w:left="340" w:right="0" w:hanging="340"/>
        <w:contextualSpacing w:val="0"/>
        <w:jc w:val="both"/>
        <w:rPr>
          <w:rFonts w:eastAsia="Times New Roman" w:cs="Times New Roman"/>
          <w:szCs w:val="20"/>
          <w:lang w:bidi="ar-SA"/>
        </w:rPr>
      </w:pPr>
      <w:r>
        <w:rPr>
          <w:rFonts w:eastAsia="Times New Roman" w:cs="Times New Roman"/>
          <w:szCs w:val="20"/>
          <w:lang w:bidi="ar-SA"/>
        </w:rPr>
        <w:t xml:space="preserve">pożyczki długoterminowej planowanej do zaciągnięcia w celu spłaty wcześniej zaciągniętych zobowiązań z tytułu, kredytów, pożyczek i emisji obligacji oraz sfinansowania części planowanego deficytu w 2026 roku, ze spłatą oszacowaną począwszy od 2027 roku w kwocie 100 000 000 zł. </w:t>
      </w:r>
    </w:p>
    <w:p>
      <w:pPr>
        <w:keepNext w:val="0"/>
        <w:keepLines w:val="0"/>
        <w:widowControl/>
        <w:suppressLineNumbers w:val="0"/>
        <w:shd w:val="clear" w:color="auto" w:fill="auto"/>
        <w:tabs>
          <w:tab w:val="clear" w:pos="4536"/>
          <w:tab w:val="clear" w:pos="9072"/>
        </w:tabs>
        <w:suppressAutoHyphens w:val="0"/>
        <w:spacing w:before="0" w:beforeAutospacing="0" w:after="120" w:afterAutospacing="0" w:line="240" w:lineRule="auto"/>
        <w:ind w:left="0" w:right="0" w:firstLine="0"/>
        <w:contextualSpacing w:val="0"/>
        <w:jc w:val="both"/>
        <w:rPr>
          <w:rFonts w:eastAsia="Times New Roman" w:cs="Times New Roman"/>
          <w:szCs w:val="20"/>
          <w:lang w:bidi="ar-SA"/>
        </w:rPr>
      </w:pPr>
      <w:r>
        <w:rPr>
          <w:rFonts w:eastAsia="Times New Roman" w:cs="Times New Roman"/>
          <w:b/>
          <w:szCs w:val="20"/>
          <w:lang w:bidi="ar-SA"/>
        </w:rPr>
        <w:t>Z uwagi na drastyczne poszkodowanie Bytomia skutkami niezrozumiałych i niesprawiedliwych w skutkach dla miasta założeń ustawowych, których efektem są nadzwyczaj niewystarczające środki transferowe z budżetu państwa, miasto stanęło w obliczu trudnej decyzji o konieczności pozyskania zewnętrznych źródeł finansowania dla jego niezbędnych i obowiązkowych wydatków, umożliwiających realizację nałożonych na samorząd ustawowo zadań. Po przeprowadzonej wnikliwej i szczegółowej analizie dostępnych na rynku instrumentów finansowych postanowiono zaciągnąć pożyczkę, która jawi się jako najkorzystniejsza forma pokrycia części kosztów inwestycji i zobowiązań miasta. Jest to na chwilę obecną jedyne i niezbędne rozwiązanie problemu niedostatecznego finansowania rzeczywistych potrzeb miasta. Wzorem roku bieżącego w sferze szczególnego zainteresowania przez miasto jest pożyczka z Banku Gospodarstwa Krajowego. Podmiot ten zaoferował w 2025 roku miastu pożyczkę z marżą na poziomie 0,45%. Dlatego wyrażamy nadzieję na osiągniecie podobnej propozycji w roku 2026</w:t>
      </w:r>
      <w:r>
        <w:rPr>
          <w:rFonts w:eastAsia="Times New Roman" w:cs="Times New Roman"/>
          <w:szCs w:val="20"/>
          <w:lang w:bidi="ar-SA"/>
        </w:rPr>
        <w:t>.</w:t>
      </w:r>
    </w:p>
    <w:p>
      <w:pPr>
        <w:keepNext w:val="0"/>
        <w:keepLines w:val="0"/>
        <w:widowControl/>
        <w:suppressLineNumbers w:val="0"/>
        <w:shd w:val="clear" w:color="auto" w:fill="auto"/>
        <w:suppressAutoHyphens w:val="0"/>
        <w:spacing w:before="360" w:beforeAutospacing="0" w:after="240" w:afterAutospacing="0" w:line="240" w:lineRule="auto"/>
        <w:ind w:left="0" w:right="0" w:firstLine="0"/>
        <w:contextualSpacing w:val="0"/>
        <w:rPr>
          <w:rFonts w:eastAsia="Times New Roman" w:cs="Times New Roman"/>
          <w:b/>
          <w:szCs w:val="20"/>
          <w:lang w:bidi="ar-SA"/>
        </w:rPr>
      </w:pPr>
      <w:r>
        <w:rPr>
          <w:rFonts w:eastAsia="Times New Roman" w:cs="Times New Roman"/>
          <w:b/>
          <w:szCs w:val="20"/>
          <w:lang w:bidi="ar-SA"/>
        </w:rPr>
        <w:t xml:space="preserve">5. ROZCHODY BUDŻETU </w:t>
      </w:r>
    </w:p>
    <w:p>
      <w:pPr>
        <w:keepNext w:val="0"/>
        <w:keepLines w:val="0"/>
        <w:widowControl/>
        <w:suppressLineNumbers w:val="0"/>
        <w:shd w:val="clear" w:color="auto" w:fill="auto"/>
        <w:suppressAutoHyphens w:val="0"/>
        <w:spacing w:before="0" w:beforeAutospacing="0" w:after="120" w:afterAutospacing="0" w:line="240" w:lineRule="auto"/>
        <w:ind w:left="0" w:right="0" w:firstLine="0"/>
        <w:contextualSpacing w:val="0"/>
        <w:rPr>
          <w:rFonts w:eastAsia="Times New Roman" w:cs="Times New Roman"/>
          <w:szCs w:val="20"/>
          <w:lang w:bidi="ar-SA"/>
        </w:rPr>
      </w:pPr>
      <w:r>
        <w:rPr>
          <w:rFonts w:eastAsia="Times New Roman" w:cs="Times New Roman"/>
          <w:szCs w:val="20"/>
          <w:lang w:bidi="ar-SA"/>
        </w:rPr>
        <w:t>Rozchody stanowią spłaty rat kredytów, pożyczek zaciągniętych w latach ubiegłych i wykup wyemitowanych obligacji.</w:t>
      </w:r>
    </w:p>
    <w:p>
      <w:pPr>
        <w:keepNext w:val="0"/>
        <w:keepLines w:val="0"/>
        <w:widowControl/>
        <w:suppressLineNumbers w:val="0"/>
        <w:shd w:val="clear" w:color="auto" w:fill="auto"/>
        <w:suppressAutoHyphens w:val="0"/>
        <w:spacing w:before="0" w:beforeAutospacing="0" w:after="12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W roku 2026 zapewniono środki w łącznej wysokości 33 236 448 zł na przypadające do spłaty w 2026 r. zobowiązania z tytułu zaciągniętych kredytów, pożyczek oraz wyemitowanych obligacji. W kolejnych latach analizy zaplanowano rozchody zgodnie z zawartymi umowami w tym zakresie.</w:t>
      </w:r>
    </w:p>
    <w:tbl>
      <w:tblPr>
        <w:tblStyle w:val="TableNormal"/>
        <w:tblW w:w="15168" w:type="dxa"/>
        <w:shd w:val="clear" w:color="auto" w:fill="FFFFFF"/>
        <w:tblLayout w:type="fixed"/>
        <w:tblCellMar>
          <w:left w:w="0" w:type="dxa"/>
          <w:right w:w="0" w:type="dxa"/>
        </w:tblCellMar>
      </w:tblPr>
      <w:tblGrid>
        <w:gridCol w:w="3742"/>
        <w:gridCol w:w="964"/>
        <w:gridCol w:w="964"/>
        <w:gridCol w:w="1276"/>
        <w:gridCol w:w="1134"/>
        <w:gridCol w:w="1087"/>
        <w:gridCol w:w="1229"/>
        <w:gridCol w:w="1228"/>
        <w:gridCol w:w="1229"/>
        <w:gridCol w:w="1228"/>
        <w:gridCol w:w="1087"/>
      </w:tblGrid>
      <w:tr>
        <w:tblPrEx>
          <w:tblW w:w="15168" w:type="dxa"/>
          <w:shd w:val="clear" w:color="auto" w:fill="FFFFFF"/>
          <w:tblLayout w:type="fixed"/>
          <w:tblCellMar>
            <w:left w:w="0" w:type="dxa"/>
            <w:right w:w="0" w:type="dxa"/>
          </w:tblCellMar>
        </w:tblPrEx>
        <w:trPr>
          <w:cantSplit/>
          <w:trHeight w:val="134"/>
        </w:trPr>
        <w:tc>
          <w:tcPr>
            <w:tcW w:w="15168" w:type="dxa"/>
            <w:gridSpan w:val="11"/>
            <w:tcBorders>
              <w:bottom w:val="single" w:sz="4" w:space="0" w:color="auto"/>
            </w:tcBorders>
            <w:shd w:val="clear" w:color="auto" w:fill="FFFFFF"/>
            <w:noWrap/>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16"/>
                <w:szCs w:val="20"/>
                <w:lang w:bidi="ar-SA"/>
              </w:rPr>
            </w:pPr>
            <w:r>
              <w:rPr>
                <w:rFonts w:eastAsia="Times New Roman" w:cs="Times New Roman"/>
                <w:sz w:val="16"/>
                <w:szCs w:val="20"/>
                <w:lang w:bidi="ar-SA"/>
              </w:rPr>
              <w:t>kwota w złotych</w:t>
            </w:r>
          </w:p>
        </w:tc>
      </w:tr>
      <w:tr>
        <w:tblPrEx>
          <w:tblW w:w="15168" w:type="dxa"/>
          <w:shd w:val="clear" w:color="auto" w:fill="FFFFFF"/>
          <w:tblLayout w:type="fixed"/>
          <w:tblCellMar>
            <w:left w:w="0" w:type="dxa"/>
            <w:right w:w="0" w:type="dxa"/>
          </w:tblCellMar>
        </w:tblPrEx>
        <w:trPr>
          <w:cantSplit/>
          <w:trHeight w:val="227"/>
        </w:trPr>
        <w:tc>
          <w:tcPr>
            <w:tcW w:w="3742" w:type="dxa"/>
            <w:vMerge w:val="restart"/>
            <w:tcBorders>
              <w:top w:val="single" w:sz="4" w:space="0" w:color="auto"/>
              <w:left w:val="single" w:sz="4" w:space="0" w:color="auto"/>
              <w:bottom w:val="single" w:sz="4" w:space="0" w:color="auto"/>
              <w:right w:val="single" w:sz="4" w:space="0" w:color="auto"/>
            </w:tcBorders>
            <w:shd w:val="clear" w:color="auto" w:fill="FFFFFF"/>
            <w:noWrap/>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Tytuły dłużne</w:t>
            </w:r>
          </w:p>
        </w:tc>
        <w:tc>
          <w:tcPr>
            <w:tcW w:w="964"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rok</w:t>
              <w:br/>
              <w:t>zaciągnięcia</w:t>
            </w:r>
          </w:p>
        </w:tc>
        <w:tc>
          <w:tcPr>
            <w:tcW w:w="964"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planowany</w:t>
              <w:br/>
              <w:t>okres spłaty</w:t>
            </w:r>
          </w:p>
        </w:tc>
        <w:tc>
          <w:tcPr>
            <w:tcW w:w="1276" w:type="dxa"/>
            <w:tcBorders>
              <w:top w:val="single" w:sz="4" w:space="0" w:color="auto"/>
              <w:left w:val="single" w:sz="4" w:space="0" w:color="auto"/>
              <w:bottom w:val="single" w:sz="4" w:space="0" w:color="auto"/>
              <w:right w:val="single" w:sz="4" w:space="0" w:color="auto"/>
            </w:tcBorders>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pozostało do spłaty</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Przychody</w:t>
            </w:r>
          </w:p>
        </w:tc>
        <w:tc>
          <w:tcPr>
            <w:tcW w:w="7088" w:type="dxa"/>
            <w:gridSpan w:val="6"/>
            <w:tcBorders>
              <w:top w:val="single" w:sz="4" w:space="0" w:color="auto"/>
              <w:left w:val="single" w:sz="4" w:space="0" w:color="auto"/>
              <w:bottom w:val="single" w:sz="4" w:space="0" w:color="auto"/>
              <w:right w:val="single" w:sz="4" w:space="0" w:color="auto"/>
            </w:tcBorders>
            <w:shd w:val="clear" w:color="auto" w:fill="FFFFFF"/>
            <w:noWrap/>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Kwoty spłaty rat w danym roku / latach</w:t>
            </w:r>
          </w:p>
        </w:tc>
      </w:tr>
      <w:tr>
        <w:tblPrEx>
          <w:tblW w:w="15168" w:type="dxa"/>
          <w:shd w:val="clear" w:color="auto" w:fill="FFFFFF"/>
          <w:tblLayout w:type="fixed"/>
          <w:tblCellMar>
            <w:left w:w="0" w:type="dxa"/>
            <w:right w:w="0" w:type="dxa"/>
          </w:tblCellMar>
        </w:tblPrEx>
        <w:trPr>
          <w:cantSplit/>
          <w:trHeight w:val="227"/>
        </w:trPr>
        <w:tc>
          <w:tcPr>
            <w:tcW w:w="3742" w:type="dxa"/>
            <w:vMerge/>
            <w:tcBorders>
              <w:top w:val="single" w:sz="4" w:space="0" w:color="auto"/>
              <w:left w:val="single" w:sz="4" w:space="0" w:color="auto"/>
              <w:bottom w:val="single" w:sz="4" w:space="0" w:color="auto"/>
              <w:right w:val="single" w:sz="4" w:space="0" w:color="auto"/>
            </w:tcBorders>
            <w:shd w:val="clear" w:color="auto" w:fill="FFFFFF"/>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p>
        </w:tc>
        <w:tc>
          <w:tcPr>
            <w:tcW w:w="964" w:type="dxa"/>
            <w:vMerge/>
            <w:tcBorders>
              <w:top w:val="single" w:sz="4" w:space="0" w:color="auto"/>
              <w:left w:val="single" w:sz="4" w:space="0" w:color="auto"/>
              <w:bottom w:val="single" w:sz="4" w:space="0" w:color="auto"/>
              <w:right w:val="single" w:sz="4" w:space="0" w:color="auto"/>
            </w:tcBorders>
            <w:shd w:val="clear" w:color="auto" w:fill="FFFFFF"/>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p>
        </w:tc>
        <w:tc>
          <w:tcPr>
            <w:tcW w:w="964" w:type="dxa"/>
            <w:vMerge/>
            <w:tcBorders>
              <w:top w:val="single" w:sz="4" w:space="0" w:color="auto"/>
              <w:left w:val="single" w:sz="4" w:space="0" w:color="auto"/>
              <w:bottom w:val="single" w:sz="4" w:space="0" w:color="auto"/>
              <w:right w:val="single" w:sz="4" w:space="0" w:color="auto"/>
            </w:tcBorders>
            <w:shd w:val="clear" w:color="auto" w:fill="FFFFFF"/>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p>
        </w:tc>
        <w:tc>
          <w:tcPr>
            <w:tcW w:w="1276" w:type="dxa"/>
            <w:tcBorders>
              <w:top w:val="single" w:sz="4" w:space="0" w:color="auto"/>
              <w:left w:val="single" w:sz="4" w:space="0" w:color="auto"/>
              <w:bottom w:val="single" w:sz="4" w:space="0" w:color="auto"/>
              <w:right w:val="single" w:sz="4" w:space="0" w:color="auto"/>
            </w:tcBorders>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na dzień 31.12.2025 r.</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2026</w:t>
            </w:r>
          </w:p>
        </w:tc>
        <w:tc>
          <w:tcPr>
            <w:tcW w:w="1087" w:type="dxa"/>
            <w:tcBorders>
              <w:top w:val="single" w:sz="4" w:space="0" w:color="auto"/>
              <w:left w:val="single" w:sz="4" w:space="0" w:color="auto"/>
              <w:bottom w:val="single" w:sz="4" w:space="0" w:color="auto"/>
              <w:right w:val="single" w:sz="4" w:space="0" w:color="auto"/>
            </w:tcBorders>
            <w:shd w:val="clear" w:color="auto" w:fill="FFFFFF"/>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2026</w:t>
            </w:r>
          </w:p>
        </w:tc>
        <w:tc>
          <w:tcPr>
            <w:tcW w:w="1229" w:type="dxa"/>
            <w:tcBorders>
              <w:top w:val="single" w:sz="4" w:space="0" w:color="auto"/>
              <w:left w:val="single" w:sz="4" w:space="0" w:color="auto"/>
              <w:bottom w:val="single" w:sz="4" w:space="0" w:color="auto"/>
              <w:right w:val="single" w:sz="4" w:space="0" w:color="auto"/>
            </w:tcBorders>
            <w:shd w:val="clear" w:color="auto" w:fill="FFFFFF"/>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2027</w:t>
            </w:r>
          </w:p>
        </w:tc>
        <w:tc>
          <w:tcPr>
            <w:tcW w:w="1228" w:type="dxa"/>
            <w:tcBorders>
              <w:top w:val="single" w:sz="4" w:space="0" w:color="auto"/>
              <w:left w:val="single" w:sz="4" w:space="0" w:color="auto"/>
              <w:bottom w:val="single" w:sz="4" w:space="0" w:color="auto"/>
              <w:right w:val="single" w:sz="4" w:space="0" w:color="auto"/>
            </w:tcBorders>
            <w:shd w:val="clear" w:color="auto" w:fill="FFFFFF"/>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2028</w:t>
            </w:r>
          </w:p>
        </w:tc>
        <w:tc>
          <w:tcPr>
            <w:tcW w:w="1229" w:type="dxa"/>
            <w:tcBorders>
              <w:top w:val="single" w:sz="4" w:space="0" w:color="auto"/>
              <w:left w:val="single" w:sz="4" w:space="0" w:color="auto"/>
              <w:bottom w:val="single" w:sz="4" w:space="0" w:color="auto"/>
              <w:right w:val="single" w:sz="4" w:space="0" w:color="auto"/>
            </w:tcBorders>
            <w:shd w:val="clear" w:color="auto" w:fill="FFFFFF"/>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2029</w:t>
            </w:r>
          </w:p>
        </w:tc>
        <w:tc>
          <w:tcPr>
            <w:tcW w:w="1228" w:type="dxa"/>
            <w:tcBorders>
              <w:top w:val="single" w:sz="4" w:space="0" w:color="auto"/>
              <w:left w:val="single" w:sz="4" w:space="0" w:color="auto"/>
              <w:bottom w:val="single" w:sz="4" w:space="0" w:color="auto"/>
              <w:right w:val="single" w:sz="4" w:space="0" w:color="auto"/>
            </w:tcBorders>
            <w:shd w:val="clear" w:color="auto" w:fill="FFFFFF"/>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2030</w:t>
            </w:r>
          </w:p>
        </w:tc>
        <w:tc>
          <w:tcPr>
            <w:tcW w:w="1087" w:type="dxa"/>
            <w:tcBorders>
              <w:top w:val="single" w:sz="4" w:space="0" w:color="auto"/>
              <w:left w:val="single" w:sz="4" w:space="0" w:color="auto"/>
              <w:bottom w:val="single" w:sz="4" w:space="0" w:color="auto"/>
              <w:right w:val="single" w:sz="4" w:space="0" w:color="auto"/>
            </w:tcBorders>
            <w:shd w:val="clear" w:color="auto" w:fill="FFFFFF"/>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2031-2046</w:t>
            </w:r>
          </w:p>
        </w:tc>
      </w:tr>
      <w:tr>
        <w:tblPrEx>
          <w:tblW w:w="15168" w:type="dxa"/>
          <w:shd w:val="clear" w:color="auto" w:fill="FFFFFF"/>
          <w:tblLayout w:type="fixed"/>
          <w:tblCellMar>
            <w:left w:w="0" w:type="dxa"/>
            <w:right w:w="0" w:type="dxa"/>
          </w:tblCellMar>
        </w:tblPrEx>
        <w:trPr>
          <w:trHeight w:val="227"/>
        </w:trPr>
        <w:tc>
          <w:tcPr>
            <w:tcW w:w="3742" w:type="dxa"/>
            <w:tcBorders>
              <w:top w:val="single" w:sz="4" w:space="0" w:color="auto"/>
              <w:left w:val="single" w:sz="4" w:space="0" w:color="auto"/>
              <w:bottom w:val="single" w:sz="4" w:space="0" w:color="auto"/>
              <w:right w:val="single" w:sz="4" w:space="0" w:color="auto"/>
            </w:tcBorders>
            <w:shd w:val="clear" w:color="auto" w:fill="FFFFFF"/>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Kredyt na ubytek w dochodach będący skutkiem wystąpienia COVID-19</w:t>
            </w:r>
          </w:p>
        </w:tc>
        <w:tc>
          <w:tcPr>
            <w:tcW w:w="964" w:type="dxa"/>
            <w:tcBorders>
              <w:top w:val="single" w:sz="4" w:space="0" w:color="auto"/>
              <w:left w:val="single" w:sz="4" w:space="0" w:color="auto"/>
              <w:bottom w:val="single" w:sz="4" w:space="0" w:color="auto"/>
              <w:right w:val="single" w:sz="4" w:space="0" w:color="auto"/>
            </w:tcBorders>
            <w:shd w:val="clear" w:color="auto" w:fill="FFFFFF"/>
            <w:noWrap/>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2020</w:t>
            </w:r>
          </w:p>
        </w:tc>
        <w:tc>
          <w:tcPr>
            <w:tcW w:w="964" w:type="dxa"/>
            <w:tcBorders>
              <w:top w:val="single" w:sz="4" w:space="0" w:color="auto"/>
              <w:left w:val="single" w:sz="4" w:space="0" w:color="auto"/>
              <w:bottom w:val="single" w:sz="4" w:space="0" w:color="auto"/>
              <w:right w:val="single" w:sz="4" w:space="0" w:color="auto"/>
            </w:tcBorders>
            <w:shd w:val="clear" w:color="auto" w:fill="FFFFFF"/>
            <w:noWrap/>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2023-2030</w:t>
            </w:r>
          </w:p>
        </w:tc>
        <w:tc>
          <w:tcPr>
            <w:tcW w:w="1276" w:type="dxa"/>
            <w:tcBorders>
              <w:top w:val="single" w:sz="4" w:space="0" w:color="auto"/>
              <w:left w:val="single" w:sz="4" w:space="0" w:color="auto"/>
              <w:bottom w:val="single" w:sz="4" w:space="0" w:color="auto"/>
              <w:right w:val="single" w:sz="4" w:space="0" w:color="auto"/>
            </w:tcBorders>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6 250 000</w:t>
            </w:r>
          </w:p>
        </w:tc>
        <w:tc>
          <w:tcPr>
            <w:tcW w:w="1134" w:type="dxa"/>
            <w:tcBorders>
              <w:top w:val="single" w:sz="4" w:space="0" w:color="auto"/>
              <w:left w:val="single" w:sz="4" w:space="0" w:color="auto"/>
              <w:bottom w:val="single" w:sz="4" w:space="0" w:color="auto"/>
              <w:right w:val="single" w:sz="4" w:space="0" w:color="auto"/>
            </w:tcBorders>
            <w:shd w:val="clear" w:color="auto" w:fill="F2F2F2"/>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p>
        </w:tc>
        <w:tc>
          <w:tcPr>
            <w:tcW w:w="1087"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1 250 000</w:t>
            </w:r>
          </w:p>
        </w:tc>
        <w:tc>
          <w:tcPr>
            <w:tcW w:w="1229"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1 250 000</w:t>
            </w:r>
          </w:p>
        </w:tc>
        <w:tc>
          <w:tcPr>
            <w:tcW w:w="1228"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1 250 000</w:t>
            </w:r>
          </w:p>
        </w:tc>
        <w:tc>
          <w:tcPr>
            <w:tcW w:w="1229"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1 250 000</w:t>
            </w:r>
          </w:p>
        </w:tc>
        <w:tc>
          <w:tcPr>
            <w:tcW w:w="1228"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1 250 000</w:t>
            </w:r>
          </w:p>
        </w:tc>
        <w:tc>
          <w:tcPr>
            <w:tcW w:w="1087" w:type="dxa"/>
            <w:tcBorders>
              <w:top w:val="single" w:sz="4" w:space="0" w:color="auto"/>
              <w:left w:val="single" w:sz="4" w:space="0" w:color="auto"/>
              <w:bottom w:val="single" w:sz="4" w:space="0" w:color="auto"/>
              <w:right w:val="single" w:sz="4" w:space="0" w:color="auto"/>
            </w:tcBorders>
            <w:shd w:val="clear" w:color="auto" w:fill="FFFFFF"/>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w:t>
            </w:r>
          </w:p>
        </w:tc>
      </w:tr>
      <w:tr>
        <w:tblPrEx>
          <w:tblW w:w="15168" w:type="dxa"/>
          <w:shd w:val="clear" w:color="auto" w:fill="FFFFFF"/>
          <w:tblLayout w:type="fixed"/>
          <w:tblCellMar>
            <w:left w:w="0" w:type="dxa"/>
            <w:right w:w="0" w:type="dxa"/>
          </w:tblCellMar>
        </w:tblPrEx>
        <w:trPr>
          <w:trHeight w:val="227"/>
        </w:trPr>
        <w:tc>
          <w:tcPr>
            <w:tcW w:w="3742" w:type="dxa"/>
            <w:tcBorders>
              <w:top w:val="single" w:sz="4" w:space="0" w:color="auto"/>
              <w:left w:val="single" w:sz="4" w:space="0" w:color="auto"/>
              <w:bottom w:val="single" w:sz="4" w:space="0" w:color="auto"/>
              <w:right w:val="single" w:sz="4" w:space="0" w:color="auto"/>
            </w:tcBorders>
            <w:shd w:val="clear" w:color="auto" w:fill="FFFFFF"/>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Kredyt z EBI</w:t>
            </w:r>
          </w:p>
        </w:tc>
        <w:tc>
          <w:tcPr>
            <w:tcW w:w="964" w:type="dxa"/>
            <w:tcBorders>
              <w:top w:val="single" w:sz="4" w:space="0" w:color="auto"/>
              <w:left w:val="single" w:sz="4" w:space="0" w:color="auto"/>
              <w:bottom w:val="single" w:sz="4" w:space="0" w:color="auto"/>
              <w:right w:val="single" w:sz="4" w:space="0" w:color="auto"/>
            </w:tcBorders>
            <w:shd w:val="clear" w:color="auto" w:fill="FFFFFF"/>
            <w:noWrap/>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2018-2021</w:t>
            </w:r>
          </w:p>
        </w:tc>
        <w:tc>
          <w:tcPr>
            <w:tcW w:w="964" w:type="dxa"/>
            <w:tcBorders>
              <w:top w:val="single" w:sz="4" w:space="0" w:color="auto"/>
              <w:left w:val="single" w:sz="4" w:space="0" w:color="auto"/>
              <w:bottom w:val="single" w:sz="4" w:space="0" w:color="auto"/>
              <w:right w:val="single" w:sz="4" w:space="0" w:color="auto"/>
            </w:tcBorders>
            <w:shd w:val="clear" w:color="auto" w:fill="FFFFFF"/>
            <w:noWrap/>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2022-2046</w:t>
            </w:r>
          </w:p>
        </w:tc>
        <w:tc>
          <w:tcPr>
            <w:tcW w:w="1276" w:type="dxa"/>
            <w:tcBorders>
              <w:top w:val="single" w:sz="4" w:space="0" w:color="auto"/>
              <w:left w:val="single" w:sz="4" w:space="0" w:color="auto"/>
              <w:bottom w:val="single" w:sz="4" w:space="0" w:color="auto"/>
              <w:right w:val="single" w:sz="4" w:space="0" w:color="auto"/>
            </w:tcBorders>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150 372 092</w:t>
            </w:r>
          </w:p>
        </w:tc>
        <w:tc>
          <w:tcPr>
            <w:tcW w:w="1134" w:type="dxa"/>
            <w:tcBorders>
              <w:top w:val="single" w:sz="4" w:space="0" w:color="auto"/>
              <w:left w:val="single" w:sz="4" w:space="0" w:color="auto"/>
              <w:bottom w:val="single" w:sz="4" w:space="0" w:color="auto"/>
              <w:right w:val="single" w:sz="4" w:space="0" w:color="auto"/>
            </w:tcBorders>
            <w:shd w:val="clear" w:color="auto" w:fill="F2F2F2"/>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p>
        </w:tc>
        <w:tc>
          <w:tcPr>
            <w:tcW w:w="1087"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7 906 977</w:t>
            </w:r>
          </w:p>
        </w:tc>
        <w:tc>
          <w:tcPr>
            <w:tcW w:w="1229"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7 906 977</w:t>
            </w:r>
          </w:p>
        </w:tc>
        <w:tc>
          <w:tcPr>
            <w:tcW w:w="1228"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7 906 976</w:t>
            </w:r>
          </w:p>
        </w:tc>
        <w:tc>
          <w:tcPr>
            <w:tcW w:w="1229"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7 906 976</w:t>
            </w:r>
          </w:p>
        </w:tc>
        <w:tc>
          <w:tcPr>
            <w:tcW w:w="1228"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7 906 977</w:t>
            </w:r>
          </w:p>
        </w:tc>
        <w:tc>
          <w:tcPr>
            <w:tcW w:w="1087" w:type="dxa"/>
            <w:tcBorders>
              <w:top w:val="single" w:sz="4" w:space="0" w:color="auto"/>
              <w:left w:val="single" w:sz="4" w:space="0" w:color="auto"/>
              <w:bottom w:val="single" w:sz="4" w:space="0" w:color="auto"/>
              <w:right w:val="single" w:sz="4" w:space="0" w:color="auto"/>
            </w:tcBorders>
            <w:shd w:val="clear" w:color="auto" w:fill="FFFFFF"/>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110 837 209</w:t>
            </w:r>
          </w:p>
        </w:tc>
      </w:tr>
      <w:tr>
        <w:tblPrEx>
          <w:tblW w:w="15168" w:type="dxa"/>
          <w:shd w:val="clear" w:color="auto" w:fill="FFFFFF"/>
          <w:tblLayout w:type="fixed"/>
          <w:tblCellMar>
            <w:left w:w="0" w:type="dxa"/>
            <w:right w:w="0" w:type="dxa"/>
          </w:tblCellMar>
        </w:tblPrEx>
        <w:trPr>
          <w:trHeight w:val="227"/>
        </w:trPr>
        <w:tc>
          <w:tcPr>
            <w:tcW w:w="3742" w:type="dxa"/>
            <w:tcBorders>
              <w:top w:val="single" w:sz="4" w:space="0" w:color="auto"/>
              <w:left w:val="single" w:sz="4" w:space="0" w:color="auto"/>
              <w:bottom w:val="single" w:sz="4" w:space="0" w:color="auto"/>
              <w:right w:val="single" w:sz="4" w:space="0" w:color="auto"/>
            </w:tcBorders>
            <w:shd w:val="clear" w:color="auto" w:fill="FFFFFF"/>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Kredyt na sfinansowanie części deficytu w 2022 r. i spłatę wcześniej zaciągniętych zobowiązań (PKO BP)</w:t>
            </w:r>
          </w:p>
        </w:tc>
        <w:tc>
          <w:tcPr>
            <w:tcW w:w="964" w:type="dxa"/>
            <w:tcBorders>
              <w:top w:val="single" w:sz="4" w:space="0" w:color="auto"/>
              <w:left w:val="single" w:sz="4" w:space="0" w:color="auto"/>
              <w:bottom w:val="single" w:sz="4" w:space="0" w:color="auto"/>
              <w:right w:val="single" w:sz="4" w:space="0" w:color="auto"/>
            </w:tcBorders>
            <w:shd w:val="clear" w:color="auto" w:fill="FFFFFF"/>
            <w:noWrap/>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2022</w:t>
            </w:r>
          </w:p>
        </w:tc>
        <w:tc>
          <w:tcPr>
            <w:tcW w:w="964" w:type="dxa"/>
            <w:tcBorders>
              <w:top w:val="single" w:sz="4" w:space="0" w:color="auto"/>
              <w:left w:val="single" w:sz="4" w:space="0" w:color="auto"/>
              <w:bottom w:val="single" w:sz="4" w:space="0" w:color="auto"/>
              <w:right w:val="single" w:sz="4" w:space="0" w:color="auto"/>
            </w:tcBorders>
            <w:shd w:val="clear" w:color="auto" w:fill="FFFFFF"/>
            <w:noWrap/>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2027-2036</w:t>
            </w:r>
          </w:p>
        </w:tc>
        <w:tc>
          <w:tcPr>
            <w:tcW w:w="1276" w:type="dxa"/>
            <w:tcBorders>
              <w:top w:val="single" w:sz="4" w:space="0" w:color="auto"/>
              <w:left w:val="single" w:sz="4" w:space="0" w:color="auto"/>
              <w:bottom w:val="single" w:sz="4" w:space="0" w:color="auto"/>
              <w:right w:val="single" w:sz="4" w:space="0" w:color="auto"/>
            </w:tcBorders>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40 000 000</w:t>
            </w:r>
          </w:p>
        </w:tc>
        <w:tc>
          <w:tcPr>
            <w:tcW w:w="1134" w:type="dxa"/>
            <w:tcBorders>
              <w:top w:val="single" w:sz="4" w:space="0" w:color="auto"/>
              <w:left w:val="single" w:sz="4" w:space="0" w:color="auto"/>
              <w:bottom w:val="single" w:sz="4" w:space="0" w:color="auto"/>
              <w:right w:val="single" w:sz="4" w:space="0" w:color="auto"/>
            </w:tcBorders>
            <w:shd w:val="clear" w:color="auto" w:fill="F2F2F2"/>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p>
        </w:tc>
        <w:tc>
          <w:tcPr>
            <w:tcW w:w="1087"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w:t>
            </w:r>
          </w:p>
        </w:tc>
        <w:tc>
          <w:tcPr>
            <w:tcW w:w="1229"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1 000 000</w:t>
            </w:r>
          </w:p>
        </w:tc>
        <w:tc>
          <w:tcPr>
            <w:tcW w:w="1228"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1 000 000</w:t>
            </w:r>
          </w:p>
        </w:tc>
        <w:tc>
          <w:tcPr>
            <w:tcW w:w="1229"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1 000 000</w:t>
            </w:r>
          </w:p>
        </w:tc>
        <w:tc>
          <w:tcPr>
            <w:tcW w:w="1228"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1 000 000</w:t>
            </w:r>
          </w:p>
        </w:tc>
        <w:tc>
          <w:tcPr>
            <w:tcW w:w="1087" w:type="dxa"/>
            <w:tcBorders>
              <w:top w:val="single" w:sz="4" w:space="0" w:color="auto"/>
              <w:left w:val="single" w:sz="4" w:space="0" w:color="auto"/>
              <w:bottom w:val="single" w:sz="4" w:space="0" w:color="auto"/>
              <w:right w:val="single" w:sz="4" w:space="0" w:color="auto"/>
            </w:tcBorders>
            <w:shd w:val="clear" w:color="auto" w:fill="FFFFFF"/>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36 000 000</w:t>
            </w:r>
          </w:p>
        </w:tc>
      </w:tr>
      <w:tr>
        <w:tblPrEx>
          <w:tblW w:w="15168" w:type="dxa"/>
          <w:shd w:val="clear" w:color="auto" w:fill="FFFFFF"/>
          <w:tblLayout w:type="fixed"/>
          <w:tblCellMar>
            <w:left w:w="0" w:type="dxa"/>
            <w:right w:w="0" w:type="dxa"/>
          </w:tblCellMar>
        </w:tblPrEx>
        <w:trPr>
          <w:trHeight w:val="227"/>
        </w:trPr>
        <w:tc>
          <w:tcPr>
            <w:tcW w:w="3742" w:type="dxa"/>
            <w:tcBorders>
              <w:top w:val="single" w:sz="4" w:space="0" w:color="auto"/>
              <w:left w:val="single" w:sz="4" w:space="0" w:color="auto"/>
              <w:bottom w:val="single" w:sz="4" w:space="0" w:color="auto"/>
              <w:right w:val="single" w:sz="4" w:space="0" w:color="auto"/>
            </w:tcBorders>
            <w:shd w:val="clear" w:color="auto" w:fill="FFFFFF"/>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Kredyt na sfinansowanie części deficytu w 2023 r. i spłatę wcześniej zaciągniętych zobowiązań (PKO BP)</w:t>
            </w:r>
          </w:p>
        </w:tc>
        <w:tc>
          <w:tcPr>
            <w:tcW w:w="964" w:type="dxa"/>
            <w:tcBorders>
              <w:top w:val="single" w:sz="4" w:space="0" w:color="auto"/>
              <w:left w:val="single" w:sz="4" w:space="0" w:color="auto"/>
              <w:bottom w:val="single" w:sz="4" w:space="0" w:color="auto"/>
              <w:right w:val="single" w:sz="4" w:space="0" w:color="auto"/>
            </w:tcBorders>
            <w:shd w:val="clear" w:color="auto" w:fill="FFFFFF"/>
            <w:noWrap/>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2023</w:t>
            </w:r>
          </w:p>
        </w:tc>
        <w:tc>
          <w:tcPr>
            <w:tcW w:w="964" w:type="dxa"/>
            <w:tcBorders>
              <w:top w:val="single" w:sz="4" w:space="0" w:color="auto"/>
              <w:left w:val="single" w:sz="4" w:space="0" w:color="auto"/>
              <w:bottom w:val="single" w:sz="4" w:space="0" w:color="auto"/>
              <w:right w:val="single" w:sz="4" w:space="0" w:color="auto"/>
            </w:tcBorders>
            <w:shd w:val="clear" w:color="auto" w:fill="FFFFFF"/>
            <w:noWrap/>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2027-2039</w:t>
            </w:r>
          </w:p>
        </w:tc>
        <w:tc>
          <w:tcPr>
            <w:tcW w:w="1276" w:type="dxa"/>
            <w:tcBorders>
              <w:top w:val="single" w:sz="4" w:space="0" w:color="auto"/>
              <w:left w:val="single" w:sz="4" w:space="0" w:color="auto"/>
              <w:bottom w:val="single" w:sz="4" w:space="0" w:color="auto"/>
              <w:right w:val="single" w:sz="4" w:space="0" w:color="auto"/>
            </w:tcBorders>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50 000 000</w:t>
            </w:r>
          </w:p>
        </w:tc>
        <w:tc>
          <w:tcPr>
            <w:tcW w:w="1134" w:type="dxa"/>
            <w:tcBorders>
              <w:top w:val="single" w:sz="4" w:space="0" w:color="auto"/>
              <w:left w:val="single" w:sz="4" w:space="0" w:color="auto"/>
              <w:bottom w:val="single" w:sz="4" w:space="0" w:color="auto"/>
              <w:right w:val="single" w:sz="4" w:space="0" w:color="auto"/>
            </w:tcBorders>
            <w:shd w:val="clear" w:color="auto" w:fill="F2F2F2"/>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p>
        </w:tc>
        <w:tc>
          <w:tcPr>
            <w:tcW w:w="1087"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w:t>
            </w:r>
          </w:p>
        </w:tc>
        <w:tc>
          <w:tcPr>
            <w:tcW w:w="1229"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 xml:space="preserve">1 000 000 </w:t>
            </w:r>
          </w:p>
        </w:tc>
        <w:tc>
          <w:tcPr>
            <w:tcW w:w="1228"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2 000 000</w:t>
            </w:r>
          </w:p>
        </w:tc>
        <w:tc>
          <w:tcPr>
            <w:tcW w:w="1229"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2 000 000</w:t>
            </w:r>
          </w:p>
        </w:tc>
        <w:tc>
          <w:tcPr>
            <w:tcW w:w="1228"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 xml:space="preserve">2 000 000 </w:t>
            </w:r>
          </w:p>
        </w:tc>
        <w:tc>
          <w:tcPr>
            <w:tcW w:w="1087" w:type="dxa"/>
            <w:tcBorders>
              <w:top w:val="single" w:sz="4" w:space="0" w:color="auto"/>
              <w:left w:val="single" w:sz="4" w:space="0" w:color="auto"/>
              <w:bottom w:val="single" w:sz="4" w:space="0" w:color="auto"/>
              <w:right w:val="single" w:sz="4" w:space="0" w:color="auto"/>
            </w:tcBorders>
            <w:shd w:val="clear" w:color="auto" w:fill="FFFFFF"/>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43 000 000</w:t>
            </w:r>
          </w:p>
        </w:tc>
      </w:tr>
      <w:tr>
        <w:tblPrEx>
          <w:tblW w:w="15168" w:type="dxa"/>
          <w:shd w:val="clear" w:color="auto" w:fill="FFFFFF"/>
          <w:tblLayout w:type="fixed"/>
          <w:tblCellMar>
            <w:left w:w="0" w:type="dxa"/>
            <w:right w:w="0" w:type="dxa"/>
          </w:tblCellMar>
        </w:tblPrEx>
        <w:trPr>
          <w:trHeight w:val="227"/>
        </w:trPr>
        <w:tc>
          <w:tcPr>
            <w:tcW w:w="3742" w:type="dxa"/>
            <w:tcBorders>
              <w:top w:val="single" w:sz="4" w:space="0" w:color="auto"/>
              <w:left w:val="single" w:sz="4" w:space="0" w:color="auto"/>
              <w:bottom w:val="single" w:sz="4" w:space="0" w:color="auto"/>
              <w:right w:val="single" w:sz="4" w:space="0" w:color="auto"/>
            </w:tcBorders>
            <w:shd w:val="clear" w:color="auto" w:fill="FFFFFF"/>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Obligacje 86 mln 2013 r. (Pekao+PKO_Nordea)</w:t>
            </w:r>
          </w:p>
        </w:tc>
        <w:tc>
          <w:tcPr>
            <w:tcW w:w="964" w:type="dxa"/>
            <w:tcBorders>
              <w:top w:val="single" w:sz="4" w:space="0" w:color="auto"/>
              <w:left w:val="single" w:sz="4" w:space="0" w:color="auto"/>
              <w:bottom w:val="single" w:sz="4" w:space="0" w:color="auto"/>
              <w:right w:val="single" w:sz="4" w:space="0" w:color="auto"/>
            </w:tcBorders>
            <w:shd w:val="clear" w:color="auto" w:fill="FFFFFF"/>
            <w:noWrap/>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2013</w:t>
            </w:r>
          </w:p>
        </w:tc>
        <w:tc>
          <w:tcPr>
            <w:tcW w:w="964" w:type="dxa"/>
            <w:tcBorders>
              <w:top w:val="single" w:sz="4" w:space="0" w:color="auto"/>
              <w:left w:val="single" w:sz="4" w:space="0" w:color="auto"/>
              <w:bottom w:val="single" w:sz="4" w:space="0" w:color="auto"/>
              <w:right w:val="single" w:sz="4" w:space="0" w:color="auto"/>
            </w:tcBorders>
            <w:shd w:val="clear" w:color="auto" w:fill="FFFFFF"/>
            <w:noWrap/>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2021-2026</w:t>
            </w:r>
          </w:p>
        </w:tc>
        <w:tc>
          <w:tcPr>
            <w:tcW w:w="1276" w:type="dxa"/>
            <w:tcBorders>
              <w:top w:val="single" w:sz="4" w:space="0" w:color="auto"/>
              <w:left w:val="single" w:sz="4" w:space="0" w:color="auto"/>
              <w:bottom w:val="single" w:sz="4" w:space="0" w:color="auto"/>
              <w:right w:val="single" w:sz="4" w:space="0" w:color="auto"/>
            </w:tcBorders>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16 500 000</w:t>
            </w:r>
          </w:p>
        </w:tc>
        <w:tc>
          <w:tcPr>
            <w:tcW w:w="1134" w:type="dxa"/>
            <w:tcBorders>
              <w:top w:val="single" w:sz="4" w:space="0" w:color="auto"/>
              <w:left w:val="single" w:sz="4" w:space="0" w:color="auto"/>
              <w:bottom w:val="single" w:sz="4" w:space="0" w:color="auto"/>
              <w:right w:val="single" w:sz="4" w:space="0" w:color="auto"/>
            </w:tcBorders>
            <w:shd w:val="clear" w:color="auto" w:fill="F2F2F2"/>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p>
        </w:tc>
        <w:tc>
          <w:tcPr>
            <w:tcW w:w="1087"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16 500 000</w:t>
            </w:r>
          </w:p>
        </w:tc>
        <w:tc>
          <w:tcPr>
            <w:tcW w:w="1229"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w:t>
            </w:r>
          </w:p>
        </w:tc>
        <w:tc>
          <w:tcPr>
            <w:tcW w:w="1228"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w:t>
            </w:r>
          </w:p>
        </w:tc>
        <w:tc>
          <w:tcPr>
            <w:tcW w:w="1229"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w:t>
            </w:r>
          </w:p>
        </w:tc>
        <w:tc>
          <w:tcPr>
            <w:tcW w:w="1228"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w:t>
            </w:r>
          </w:p>
        </w:tc>
        <w:tc>
          <w:tcPr>
            <w:tcW w:w="1087" w:type="dxa"/>
            <w:tcBorders>
              <w:top w:val="single" w:sz="4" w:space="0" w:color="auto"/>
              <w:left w:val="single" w:sz="4" w:space="0" w:color="auto"/>
              <w:bottom w:val="single" w:sz="4" w:space="0" w:color="auto"/>
              <w:right w:val="single" w:sz="4" w:space="0" w:color="auto"/>
            </w:tcBorders>
            <w:shd w:val="clear" w:color="auto" w:fill="FFFFFF"/>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w:t>
            </w:r>
          </w:p>
        </w:tc>
      </w:tr>
      <w:tr>
        <w:tblPrEx>
          <w:tblW w:w="15168" w:type="dxa"/>
          <w:shd w:val="clear" w:color="auto" w:fill="FFFFFF"/>
          <w:tblLayout w:type="fixed"/>
          <w:tblCellMar>
            <w:left w:w="0" w:type="dxa"/>
            <w:right w:w="0" w:type="dxa"/>
          </w:tblCellMar>
        </w:tblPrEx>
        <w:trPr>
          <w:trHeight w:val="227"/>
        </w:trPr>
        <w:tc>
          <w:tcPr>
            <w:tcW w:w="3742" w:type="dxa"/>
            <w:tcBorders>
              <w:top w:val="single" w:sz="4" w:space="0" w:color="auto"/>
              <w:left w:val="single" w:sz="4" w:space="0" w:color="auto"/>
              <w:bottom w:val="single" w:sz="4" w:space="0" w:color="auto"/>
              <w:right w:val="single" w:sz="4" w:space="0" w:color="auto"/>
            </w:tcBorders>
            <w:shd w:val="clear" w:color="auto" w:fill="FFFFFF"/>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Obligacje 25 mln 2015 r. (PKO BP)</w:t>
            </w:r>
          </w:p>
        </w:tc>
        <w:tc>
          <w:tcPr>
            <w:tcW w:w="964" w:type="dxa"/>
            <w:tcBorders>
              <w:top w:val="single" w:sz="4" w:space="0" w:color="auto"/>
              <w:left w:val="single" w:sz="4" w:space="0" w:color="auto"/>
              <w:bottom w:val="single" w:sz="4" w:space="0" w:color="auto"/>
              <w:right w:val="single" w:sz="4" w:space="0" w:color="auto"/>
            </w:tcBorders>
            <w:shd w:val="clear" w:color="auto" w:fill="FFFFFF"/>
            <w:noWrap/>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2015</w:t>
            </w:r>
          </w:p>
        </w:tc>
        <w:tc>
          <w:tcPr>
            <w:tcW w:w="964" w:type="dxa"/>
            <w:tcBorders>
              <w:top w:val="single" w:sz="4" w:space="0" w:color="auto"/>
              <w:left w:val="single" w:sz="4" w:space="0" w:color="auto"/>
              <w:bottom w:val="single" w:sz="4" w:space="0" w:color="auto"/>
              <w:right w:val="single" w:sz="4" w:space="0" w:color="auto"/>
            </w:tcBorders>
            <w:shd w:val="clear" w:color="auto" w:fill="FFFFFF"/>
            <w:noWrap/>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2021-2026</w:t>
            </w:r>
          </w:p>
        </w:tc>
        <w:tc>
          <w:tcPr>
            <w:tcW w:w="1276" w:type="dxa"/>
            <w:tcBorders>
              <w:top w:val="single" w:sz="4" w:space="0" w:color="auto"/>
              <w:left w:val="single" w:sz="4" w:space="0" w:color="auto"/>
              <w:bottom w:val="single" w:sz="4" w:space="0" w:color="auto"/>
              <w:right w:val="single" w:sz="4" w:space="0" w:color="auto"/>
            </w:tcBorders>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5 000 000</w:t>
            </w:r>
          </w:p>
        </w:tc>
        <w:tc>
          <w:tcPr>
            <w:tcW w:w="1134" w:type="dxa"/>
            <w:tcBorders>
              <w:top w:val="single" w:sz="4" w:space="0" w:color="auto"/>
              <w:left w:val="single" w:sz="4" w:space="0" w:color="auto"/>
              <w:bottom w:val="single" w:sz="4" w:space="0" w:color="auto"/>
              <w:right w:val="single" w:sz="4" w:space="0" w:color="auto"/>
            </w:tcBorders>
            <w:shd w:val="clear" w:color="auto" w:fill="F2F2F2"/>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p>
        </w:tc>
        <w:tc>
          <w:tcPr>
            <w:tcW w:w="1087"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5 000 000</w:t>
            </w:r>
          </w:p>
        </w:tc>
        <w:tc>
          <w:tcPr>
            <w:tcW w:w="1229"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w:t>
            </w:r>
          </w:p>
        </w:tc>
        <w:tc>
          <w:tcPr>
            <w:tcW w:w="1228"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w:t>
            </w:r>
          </w:p>
        </w:tc>
        <w:tc>
          <w:tcPr>
            <w:tcW w:w="1229"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w:t>
            </w:r>
          </w:p>
        </w:tc>
        <w:tc>
          <w:tcPr>
            <w:tcW w:w="1228"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w:t>
            </w:r>
          </w:p>
        </w:tc>
        <w:tc>
          <w:tcPr>
            <w:tcW w:w="1087" w:type="dxa"/>
            <w:tcBorders>
              <w:top w:val="single" w:sz="4" w:space="0" w:color="auto"/>
              <w:left w:val="single" w:sz="4" w:space="0" w:color="auto"/>
              <w:bottom w:val="single" w:sz="4" w:space="0" w:color="auto"/>
              <w:right w:val="single" w:sz="4" w:space="0" w:color="auto"/>
            </w:tcBorders>
            <w:shd w:val="clear" w:color="auto" w:fill="FFFFFF"/>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w:t>
            </w:r>
          </w:p>
        </w:tc>
      </w:tr>
      <w:tr>
        <w:tblPrEx>
          <w:tblW w:w="15168" w:type="dxa"/>
          <w:shd w:val="clear" w:color="auto" w:fill="FFFFFF"/>
          <w:tblLayout w:type="fixed"/>
          <w:tblCellMar>
            <w:left w:w="0" w:type="dxa"/>
            <w:right w:w="0" w:type="dxa"/>
          </w:tblCellMar>
        </w:tblPrEx>
        <w:trPr>
          <w:trHeight w:val="227"/>
        </w:trPr>
        <w:tc>
          <w:tcPr>
            <w:tcW w:w="3742" w:type="dxa"/>
            <w:tcBorders>
              <w:top w:val="single" w:sz="4" w:space="0" w:color="auto"/>
              <w:left w:val="single" w:sz="4" w:space="0" w:color="auto"/>
              <w:bottom w:val="single" w:sz="4" w:space="0" w:color="auto"/>
              <w:right w:val="single" w:sz="4" w:space="0" w:color="auto"/>
            </w:tcBorders>
            <w:shd w:val="clear" w:color="auto" w:fill="FFFFFF"/>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Obligacje 40 mln 2016 r. (Pekao S.A.)</w:t>
            </w:r>
          </w:p>
        </w:tc>
        <w:tc>
          <w:tcPr>
            <w:tcW w:w="964" w:type="dxa"/>
            <w:tcBorders>
              <w:top w:val="single" w:sz="4" w:space="0" w:color="auto"/>
              <w:left w:val="single" w:sz="4" w:space="0" w:color="auto"/>
              <w:bottom w:val="single" w:sz="4" w:space="0" w:color="auto"/>
              <w:right w:val="single" w:sz="4" w:space="0" w:color="auto"/>
            </w:tcBorders>
            <w:shd w:val="clear" w:color="auto" w:fill="FFFFFF"/>
            <w:noWrap/>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2016</w:t>
            </w:r>
          </w:p>
        </w:tc>
        <w:tc>
          <w:tcPr>
            <w:tcW w:w="964" w:type="dxa"/>
            <w:tcBorders>
              <w:top w:val="single" w:sz="4" w:space="0" w:color="auto"/>
              <w:left w:val="single" w:sz="4" w:space="0" w:color="auto"/>
              <w:bottom w:val="single" w:sz="4" w:space="0" w:color="auto"/>
              <w:right w:val="single" w:sz="4" w:space="0" w:color="auto"/>
            </w:tcBorders>
            <w:shd w:val="clear" w:color="auto" w:fill="FFFFFF"/>
            <w:noWrap/>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2017-2030</w:t>
            </w:r>
          </w:p>
        </w:tc>
        <w:tc>
          <w:tcPr>
            <w:tcW w:w="1276" w:type="dxa"/>
            <w:tcBorders>
              <w:top w:val="single" w:sz="4" w:space="0" w:color="auto"/>
              <w:left w:val="single" w:sz="4" w:space="0" w:color="auto"/>
              <w:bottom w:val="single" w:sz="4" w:space="0" w:color="auto"/>
              <w:right w:val="single" w:sz="4" w:space="0" w:color="auto"/>
            </w:tcBorders>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22 000 000</w:t>
            </w:r>
          </w:p>
        </w:tc>
        <w:tc>
          <w:tcPr>
            <w:tcW w:w="1134" w:type="dxa"/>
            <w:tcBorders>
              <w:top w:val="single" w:sz="4" w:space="0" w:color="auto"/>
              <w:left w:val="single" w:sz="4" w:space="0" w:color="auto"/>
              <w:bottom w:val="single" w:sz="4" w:space="0" w:color="auto"/>
              <w:right w:val="single" w:sz="4" w:space="0" w:color="auto"/>
            </w:tcBorders>
            <w:shd w:val="clear" w:color="auto" w:fill="F2F2F2"/>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p>
        </w:tc>
        <w:tc>
          <w:tcPr>
            <w:tcW w:w="1087"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2 000 000</w:t>
            </w:r>
          </w:p>
        </w:tc>
        <w:tc>
          <w:tcPr>
            <w:tcW w:w="1229"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5 000 000</w:t>
            </w:r>
          </w:p>
        </w:tc>
        <w:tc>
          <w:tcPr>
            <w:tcW w:w="1228"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5 000 000</w:t>
            </w:r>
          </w:p>
        </w:tc>
        <w:tc>
          <w:tcPr>
            <w:tcW w:w="1229"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5 000 000</w:t>
            </w:r>
          </w:p>
        </w:tc>
        <w:tc>
          <w:tcPr>
            <w:tcW w:w="1228"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5 000 000</w:t>
            </w:r>
          </w:p>
        </w:tc>
        <w:tc>
          <w:tcPr>
            <w:tcW w:w="1087" w:type="dxa"/>
            <w:tcBorders>
              <w:top w:val="single" w:sz="4" w:space="0" w:color="auto"/>
              <w:left w:val="single" w:sz="4" w:space="0" w:color="auto"/>
              <w:bottom w:val="single" w:sz="4" w:space="0" w:color="auto"/>
              <w:right w:val="single" w:sz="4" w:space="0" w:color="auto"/>
            </w:tcBorders>
            <w:shd w:val="clear" w:color="auto" w:fill="FFFFFF"/>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w:t>
            </w:r>
          </w:p>
        </w:tc>
      </w:tr>
      <w:tr>
        <w:tblPrEx>
          <w:tblW w:w="15168" w:type="dxa"/>
          <w:shd w:val="clear" w:color="auto" w:fill="FFFFFF"/>
          <w:tblLayout w:type="fixed"/>
          <w:tblCellMar>
            <w:left w:w="0" w:type="dxa"/>
            <w:right w:w="0" w:type="dxa"/>
          </w:tblCellMar>
        </w:tblPrEx>
        <w:trPr>
          <w:trHeight w:val="227"/>
        </w:trPr>
        <w:tc>
          <w:tcPr>
            <w:tcW w:w="3742" w:type="dxa"/>
            <w:tcBorders>
              <w:top w:val="single" w:sz="4" w:space="0" w:color="auto"/>
              <w:left w:val="single" w:sz="4" w:space="0" w:color="auto"/>
              <w:bottom w:val="single" w:sz="4" w:space="0" w:color="auto"/>
              <w:right w:val="single" w:sz="4" w:space="0" w:color="auto"/>
            </w:tcBorders>
            <w:shd w:val="clear" w:color="auto" w:fill="FFFFFF"/>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 xml:space="preserve"> Obligacje 25 mln 2020 r. (BGK)</w:t>
            </w:r>
          </w:p>
        </w:tc>
        <w:tc>
          <w:tcPr>
            <w:tcW w:w="964" w:type="dxa"/>
            <w:tcBorders>
              <w:top w:val="single" w:sz="4" w:space="0" w:color="auto"/>
              <w:left w:val="single" w:sz="4" w:space="0" w:color="auto"/>
              <w:bottom w:val="single" w:sz="4" w:space="0" w:color="auto"/>
              <w:right w:val="single" w:sz="4" w:space="0" w:color="auto"/>
            </w:tcBorders>
            <w:shd w:val="clear" w:color="auto" w:fill="FFFFFF"/>
            <w:noWrap/>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2020</w:t>
            </w:r>
          </w:p>
        </w:tc>
        <w:tc>
          <w:tcPr>
            <w:tcW w:w="964" w:type="dxa"/>
            <w:tcBorders>
              <w:top w:val="single" w:sz="4" w:space="0" w:color="auto"/>
              <w:left w:val="single" w:sz="4" w:space="0" w:color="auto"/>
              <w:bottom w:val="single" w:sz="4" w:space="0" w:color="auto"/>
              <w:right w:val="single" w:sz="4" w:space="0" w:color="auto"/>
            </w:tcBorders>
            <w:shd w:val="clear" w:color="auto" w:fill="FFFFFF"/>
            <w:noWrap/>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2027-2036</w:t>
            </w:r>
          </w:p>
        </w:tc>
        <w:tc>
          <w:tcPr>
            <w:tcW w:w="1276" w:type="dxa"/>
            <w:tcBorders>
              <w:top w:val="single" w:sz="4" w:space="0" w:color="auto"/>
              <w:left w:val="single" w:sz="4" w:space="0" w:color="auto"/>
              <w:bottom w:val="single" w:sz="4" w:space="0" w:color="auto"/>
              <w:right w:val="single" w:sz="4" w:space="0" w:color="auto"/>
            </w:tcBorders>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25 000 000</w:t>
            </w:r>
          </w:p>
        </w:tc>
        <w:tc>
          <w:tcPr>
            <w:tcW w:w="1134" w:type="dxa"/>
            <w:tcBorders>
              <w:top w:val="single" w:sz="4" w:space="0" w:color="auto"/>
              <w:left w:val="single" w:sz="4" w:space="0" w:color="auto"/>
              <w:bottom w:val="single" w:sz="4" w:space="0" w:color="auto"/>
              <w:right w:val="single" w:sz="4" w:space="0" w:color="auto"/>
            </w:tcBorders>
            <w:shd w:val="clear" w:color="auto" w:fill="F2F2F2"/>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p>
        </w:tc>
        <w:tc>
          <w:tcPr>
            <w:tcW w:w="1087"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w:t>
            </w:r>
          </w:p>
        </w:tc>
        <w:tc>
          <w:tcPr>
            <w:tcW w:w="1229"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2 500 000</w:t>
            </w:r>
          </w:p>
        </w:tc>
        <w:tc>
          <w:tcPr>
            <w:tcW w:w="1228"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2 500 000</w:t>
            </w:r>
          </w:p>
        </w:tc>
        <w:tc>
          <w:tcPr>
            <w:tcW w:w="1229"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2 500 000</w:t>
            </w:r>
          </w:p>
        </w:tc>
        <w:tc>
          <w:tcPr>
            <w:tcW w:w="1228"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2 500 000</w:t>
            </w:r>
          </w:p>
        </w:tc>
        <w:tc>
          <w:tcPr>
            <w:tcW w:w="1087" w:type="dxa"/>
            <w:tcBorders>
              <w:top w:val="single" w:sz="4" w:space="0" w:color="auto"/>
              <w:left w:val="single" w:sz="4" w:space="0" w:color="auto"/>
              <w:bottom w:val="single" w:sz="4" w:space="0" w:color="auto"/>
              <w:right w:val="single" w:sz="4" w:space="0" w:color="auto"/>
            </w:tcBorders>
            <w:shd w:val="clear" w:color="auto" w:fill="FFFFFF"/>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15 000 000</w:t>
            </w:r>
          </w:p>
        </w:tc>
      </w:tr>
      <w:tr>
        <w:tblPrEx>
          <w:tblW w:w="15168" w:type="dxa"/>
          <w:shd w:val="clear" w:color="auto" w:fill="FFFFFF"/>
          <w:tblLayout w:type="fixed"/>
          <w:tblCellMar>
            <w:left w:w="0" w:type="dxa"/>
            <w:right w:w="0" w:type="dxa"/>
          </w:tblCellMar>
        </w:tblPrEx>
        <w:trPr>
          <w:trHeight w:val="227"/>
        </w:trPr>
        <w:tc>
          <w:tcPr>
            <w:tcW w:w="3742" w:type="dxa"/>
            <w:tcBorders>
              <w:top w:val="single" w:sz="4" w:space="0" w:color="auto"/>
              <w:left w:val="single" w:sz="4" w:space="0" w:color="auto"/>
              <w:bottom w:val="single" w:sz="4" w:space="0" w:color="auto"/>
              <w:right w:val="single" w:sz="4" w:space="0" w:color="auto"/>
            </w:tcBorders>
            <w:shd w:val="clear" w:color="auto" w:fill="FFFFFF"/>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Obligacje 30 mln z 2021 r. (BGK)</w:t>
            </w:r>
          </w:p>
        </w:tc>
        <w:tc>
          <w:tcPr>
            <w:tcW w:w="964" w:type="dxa"/>
            <w:tcBorders>
              <w:top w:val="single" w:sz="4" w:space="0" w:color="auto"/>
              <w:left w:val="single" w:sz="4" w:space="0" w:color="auto"/>
              <w:bottom w:val="single" w:sz="4" w:space="0" w:color="auto"/>
              <w:right w:val="single" w:sz="4" w:space="0" w:color="auto"/>
            </w:tcBorders>
            <w:shd w:val="clear" w:color="auto" w:fill="FFFFFF"/>
            <w:noWrap/>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2021</w:t>
            </w:r>
          </w:p>
        </w:tc>
        <w:tc>
          <w:tcPr>
            <w:tcW w:w="964" w:type="dxa"/>
            <w:tcBorders>
              <w:top w:val="single" w:sz="4" w:space="0" w:color="auto"/>
              <w:left w:val="single" w:sz="4" w:space="0" w:color="auto"/>
              <w:bottom w:val="single" w:sz="4" w:space="0" w:color="auto"/>
              <w:right w:val="single" w:sz="4" w:space="0" w:color="auto"/>
            </w:tcBorders>
            <w:shd w:val="clear" w:color="auto" w:fill="FFFFFF"/>
            <w:noWrap/>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2027-2036</w:t>
            </w:r>
          </w:p>
        </w:tc>
        <w:tc>
          <w:tcPr>
            <w:tcW w:w="1276" w:type="dxa"/>
            <w:tcBorders>
              <w:top w:val="single" w:sz="4" w:space="0" w:color="auto"/>
              <w:left w:val="single" w:sz="4" w:space="0" w:color="auto"/>
              <w:bottom w:val="single" w:sz="4" w:space="0" w:color="auto"/>
              <w:right w:val="single" w:sz="4" w:space="0" w:color="auto"/>
            </w:tcBorders>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30 000 000</w:t>
            </w:r>
          </w:p>
        </w:tc>
        <w:tc>
          <w:tcPr>
            <w:tcW w:w="1134" w:type="dxa"/>
            <w:tcBorders>
              <w:top w:val="single" w:sz="4" w:space="0" w:color="auto"/>
              <w:left w:val="single" w:sz="4" w:space="0" w:color="auto"/>
              <w:bottom w:val="single" w:sz="4" w:space="0" w:color="auto"/>
              <w:right w:val="single" w:sz="4" w:space="0" w:color="auto"/>
            </w:tcBorders>
            <w:shd w:val="clear" w:color="auto" w:fill="F2F2F2"/>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p>
        </w:tc>
        <w:tc>
          <w:tcPr>
            <w:tcW w:w="1087"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w:t>
            </w:r>
          </w:p>
        </w:tc>
        <w:tc>
          <w:tcPr>
            <w:tcW w:w="1229"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2 000 000</w:t>
            </w:r>
          </w:p>
        </w:tc>
        <w:tc>
          <w:tcPr>
            <w:tcW w:w="1228"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2 000 000</w:t>
            </w:r>
          </w:p>
        </w:tc>
        <w:tc>
          <w:tcPr>
            <w:tcW w:w="1229"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2 000 000</w:t>
            </w:r>
          </w:p>
        </w:tc>
        <w:tc>
          <w:tcPr>
            <w:tcW w:w="1228"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2 000 000</w:t>
            </w:r>
          </w:p>
        </w:tc>
        <w:tc>
          <w:tcPr>
            <w:tcW w:w="1087" w:type="dxa"/>
            <w:tcBorders>
              <w:top w:val="single" w:sz="4" w:space="0" w:color="auto"/>
              <w:left w:val="single" w:sz="4" w:space="0" w:color="auto"/>
              <w:bottom w:val="single" w:sz="4" w:space="0" w:color="auto"/>
              <w:right w:val="single" w:sz="4" w:space="0" w:color="auto"/>
            </w:tcBorders>
            <w:shd w:val="clear" w:color="auto" w:fill="FFFFFF"/>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22 000 000</w:t>
            </w:r>
          </w:p>
        </w:tc>
      </w:tr>
      <w:tr>
        <w:tblPrEx>
          <w:tblW w:w="15168" w:type="dxa"/>
          <w:shd w:val="clear" w:color="auto" w:fill="FFFFFF"/>
          <w:tblLayout w:type="fixed"/>
          <w:tblCellMar>
            <w:left w:w="0" w:type="dxa"/>
            <w:right w:w="0" w:type="dxa"/>
          </w:tblCellMar>
        </w:tblPrEx>
        <w:trPr>
          <w:trHeight w:val="227"/>
        </w:trPr>
        <w:tc>
          <w:tcPr>
            <w:tcW w:w="3742" w:type="dxa"/>
            <w:tcBorders>
              <w:top w:val="single" w:sz="4" w:space="0" w:color="auto"/>
              <w:left w:val="single" w:sz="4" w:space="0" w:color="auto"/>
              <w:bottom w:val="single" w:sz="4" w:space="0" w:color="auto"/>
              <w:right w:val="single" w:sz="4" w:space="0" w:color="auto"/>
            </w:tcBorders>
            <w:shd w:val="clear" w:color="auto" w:fill="FFFFFF"/>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Obligacje 25 mln z 2023 r. (BGK)</w:t>
            </w:r>
          </w:p>
        </w:tc>
        <w:tc>
          <w:tcPr>
            <w:tcW w:w="964" w:type="dxa"/>
            <w:tcBorders>
              <w:top w:val="single" w:sz="4" w:space="0" w:color="auto"/>
              <w:left w:val="single" w:sz="4" w:space="0" w:color="auto"/>
              <w:bottom w:val="single" w:sz="4" w:space="0" w:color="auto"/>
              <w:right w:val="single" w:sz="4" w:space="0" w:color="auto"/>
            </w:tcBorders>
            <w:shd w:val="clear" w:color="auto" w:fill="FFFFFF"/>
            <w:noWrap/>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2023</w:t>
            </w:r>
          </w:p>
        </w:tc>
        <w:tc>
          <w:tcPr>
            <w:tcW w:w="964" w:type="dxa"/>
            <w:tcBorders>
              <w:top w:val="single" w:sz="4" w:space="0" w:color="auto"/>
              <w:left w:val="single" w:sz="4" w:space="0" w:color="auto"/>
              <w:bottom w:val="single" w:sz="4" w:space="0" w:color="auto"/>
              <w:right w:val="single" w:sz="4" w:space="0" w:color="auto"/>
            </w:tcBorders>
            <w:shd w:val="clear" w:color="auto" w:fill="FFFFFF"/>
            <w:noWrap/>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2027-2036</w:t>
            </w:r>
          </w:p>
        </w:tc>
        <w:tc>
          <w:tcPr>
            <w:tcW w:w="1276" w:type="dxa"/>
            <w:tcBorders>
              <w:top w:val="single" w:sz="4" w:space="0" w:color="auto"/>
              <w:left w:val="single" w:sz="4" w:space="0" w:color="auto"/>
              <w:bottom w:val="single" w:sz="4" w:space="0" w:color="auto"/>
              <w:right w:val="single" w:sz="4" w:space="0" w:color="auto"/>
            </w:tcBorders>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25 000 000</w:t>
            </w:r>
          </w:p>
        </w:tc>
        <w:tc>
          <w:tcPr>
            <w:tcW w:w="1134" w:type="dxa"/>
            <w:tcBorders>
              <w:top w:val="single" w:sz="4" w:space="0" w:color="auto"/>
              <w:left w:val="single" w:sz="4" w:space="0" w:color="auto"/>
              <w:bottom w:val="single" w:sz="4" w:space="0" w:color="auto"/>
              <w:right w:val="single" w:sz="4" w:space="0" w:color="auto"/>
            </w:tcBorders>
            <w:shd w:val="clear" w:color="auto" w:fill="F2F2F2"/>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p>
        </w:tc>
        <w:tc>
          <w:tcPr>
            <w:tcW w:w="1087"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w:t>
            </w:r>
          </w:p>
        </w:tc>
        <w:tc>
          <w:tcPr>
            <w:tcW w:w="1229"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2 500 000</w:t>
            </w:r>
          </w:p>
        </w:tc>
        <w:tc>
          <w:tcPr>
            <w:tcW w:w="1228"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2 500 000</w:t>
            </w:r>
          </w:p>
        </w:tc>
        <w:tc>
          <w:tcPr>
            <w:tcW w:w="1229"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2 500 000</w:t>
            </w:r>
          </w:p>
        </w:tc>
        <w:tc>
          <w:tcPr>
            <w:tcW w:w="1228"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2 500 000</w:t>
            </w:r>
          </w:p>
        </w:tc>
        <w:tc>
          <w:tcPr>
            <w:tcW w:w="1087" w:type="dxa"/>
            <w:tcBorders>
              <w:top w:val="single" w:sz="4" w:space="0" w:color="auto"/>
              <w:left w:val="single" w:sz="4" w:space="0" w:color="auto"/>
              <w:bottom w:val="single" w:sz="4" w:space="0" w:color="auto"/>
              <w:right w:val="single" w:sz="4" w:space="0" w:color="auto"/>
            </w:tcBorders>
            <w:shd w:val="clear" w:color="auto" w:fill="FFFFFF"/>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15 000 000</w:t>
            </w:r>
          </w:p>
        </w:tc>
      </w:tr>
      <w:tr>
        <w:tblPrEx>
          <w:tblW w:w="15168" w:type="dxa"/>
          <w:shd w:val="clear" w:color="auto" w:fill="FFFFFF"/>
          <w:tblLayout w:type="fixed"/>
          <w:tblCellMar>
            <w:left w:w="0" w:type="dxa"/>
            <w:right w:w="0" w:type="dxa"/>
          </w:tblCellMar>
        </w:tblPrEx>
        <w:trPr>
          <w:trHeight w:val="227"/>
        </w:trPr>
        <w:tc>
          <w:tcPr>
            <w:tcW w:w="3742" w:type="dxa"/>
            <w:tcBorders>
              <w:top w:val="single" w:sz="4" w:space="0" w:color="auto"/>
              <w:left w:val="single" w:sz="4" w:space="0" w:color="auto"/>
              <w:bottom w:val="single" w:sz="4" w:space="0" w:color="auto"/>
              <w:right w:val="single" w:sz="4" w:space="0" w:color="auto"/>
            </w:tcBorders>
            <w:shd w:val="clear" w:color="auto" w:fill="FFFFFF"/>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Obligacje 22,5 mln z 2024 r. (BGK)</w:t>
            </w:r>
          </w:p>
        </w:tc>
        <w:tc>
          <w:tcPr>
            <w:tcW w:w="964" w:type="dxa"/>
            <w:tcBorders>
              <w:top w:val="single" w:sz="4" w:space="0" w:color="auto"/>
              <w:left w:val="single" w:sz="4" w:space="0" w:color="auto"/>
              <w:bottom w:val="single" w:sz="4" w:space="0" w:color="auto"/>
              <w:right w:val="single" w:sz="4" w:space="0" w:color="auto"/>
            </w:tcBorders>
            <w:shd w:val="clear" w:color="auto" w:fill="FFFFFF"/>
            <w:noWrap/>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2024</w:t>
            </w:r>
          </w:p>
        </w:tc>
        <w:tc>
          <w:tcPr>
            <w:tcW w:w="964" w:type="dxa"/>
            <w:tcBorders>
              <w:top w:val="single" w:sz="4" w:space="0" w:color="auto"/>
              <w:left w:val="single" w:sz="4" w:space="0" w:color="auto"/>
              <w:bottom w:val="single" w:sz="4" w:space="0" w:color="auto"/>
              <w:right w:val="single" w:sz="4" w:space="0" w:color="auto"/>
            </w:tcBorders>
            <w:shd w:val="clear" w:color="auto" w:fill="FFFFFF"/>
            <w:noWrap/>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2027-2038</w:t>
            </w:r>
          </w:p>
        </w:tc>
        <w:tc>
          <w:tcPr>
            <w:tcW w:w="1276" w:type="dxa"/>
            <w:tcBorders>
              <w:top w:val="single" w:sz="4" w:space="0" w:color="auto"/>
              <w:left w:val="single" w:sz="4" w:space="0" w:color="auto"/>
              <w:bottom w:val="single" w:sz="4" w:space="0" w:color="auto"/>
              <w:right w:val="single" w:sz="4" w:space="0" w:color="auto"/>
            </w:tcBorders>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22 500 000</w:t>
            </w:r>
          </w:p>
        </w:tc>
        <w:tc>
          <w:tcPr>
            <w:tcW w:w="1134" w:type="dxa"/>
            <w:tcBorders>
              <w:top w:val="single" w:sz="4" w:space="0" w:color="auto"/>
              <w:left w:val="single" w:sz="4" w:space="0" w:color="auto"/>
              <w:bottom w:val="single" w:sz="4" w:space="0" w:color="auto"/>
              <w:right w:val="single" w:sz="4" w:space="0" w:color="auto"/>
            </w:tcBorders>
            <w:shd w:val="clear" w:color="auto" w:fill="F2F2F2"/>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p>
        </w:tc>
        <w:tc>
          <w:tcPr>
            <w:tcW w:w="1087"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w:t>
            </w:r>
          </w:p>
        </w:tc>
        <w:tc>
          <w:tcPr>
            <w:tcW w:w="1229"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2 000 000</w:t>
            </w:r>
          </w:p>
        </w:tc>
        <w:tc>
          <w:tcPr>
            <w:tcW w:w="1228"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2 000 000</w:t>
            </w:r>
          </w:p>
        </w:tc>
        <w:tc>
          <w:tcPr>
            <w:tcW w:w="1229"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2 000 000</w:t>
            </w:r>
          </w:p>
        </w:tc>
        <w:tc>
          <w:tcPr>
            <w:tcW w:w="1228"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2 000 000</w:t>
            </w:r>
          </w:p>
        </w:tc>
        <w:tc>
          <w:tcPr>
            <w:tcW w:w="1087" w:type="dxa"/>
            <w:tcBorders>
              <w:top w:val="single" w:sz="4" w:space="0" w:color="auto"/>
              <w:left w:val="single" w:sz="4" w:space="0" w:color="auto"/>
              <w:bottom w:val="single" w:sz="4" w:space="0" w:color="auto"/>
              <w:right w:val="single" w:sz="4" w:space="0" w:color="auto"/>
            </w:tcBorders>
            <w:shd w:val="clear" w:color="auto" w:fill="FFFFFF"/>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 xml:space="preserve">14 500 000 </w:t>
            </w:r>
          </w:p>
        </w:tc>
      </w:tr>
      <w:tr>
        <w:tblPrEx>
          <w:tblW w:w="15168" w:type="dxa"/>
          <w:shd w:val="clear" w:color="auto" w:fill="FFFFFF"/>
          <w:tblLayout w:type="fixed"/>
          <w:tblCellMar>
            <w:left w:w="0" w:type="dxa"/>
            <w:right w:w="0" w:type="dxa"/>
          </w:tblCellMar>
        </w:tblPrEx>
        <w:trPr>
          <w:trHeight w:val="227"/>
        </w:trPr>
        <w:tc>
          <w:tcPr>
            <w:tcW w:w="3742" w:type="dxa"/>
            <w:tcBorders>
              <w:top w:val="single" w:sz="4" w:space="0" w:color="auto"/>
              <w:left w:val="single" w:sz="4" w:space="0" w:color="auto"/>
              <w:bottom w:val="single" w:sz="4" w:space="0" w:color="auto"/>
              <w:right w:val="single" w:sz="4" w:space="0" w:color="auto"/>
            </w:tcBorders>
            <w:shd w:val="clear" w:color="auto" w:fill="FFFFFF"/>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Pożyczka z WFOŚiGW – KAWKA</w:t>
            </w:r>
          </w:p>
        </w:tc>
        <w:tc>
          <w:tcPr>
            <w:tcW w:w="964" w:type="dxa"/>
            <w:tcBorders>
              <w:top w:val="single" w:sz="4" w:space="0" w:color="auto"/>
              <w:left w:val="single" w:sz="4" w:space="0" w:color="auto"/>
              <w:bottom w:val="single" w:sz="4" w:space="0" w:color="auto"/>
              <w:right w:val="single" w:sz="4" w:space="0" w:color="auto"/>
            </w:tcBorders>
            <w:shd w:val="clear" w:color="auto" w:fill="FFFFFF"/>
            <w:noWrap/>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2016-2018</w:t>
            </w:r>
          </w:p>
        </w:tc>
        <w:tc>
          <w:tcPr>
            <w:tcW w:w="964" w:type="dxa"/>
            <w:tcBorders>
              <w:top w:val="single" w:sz="4" w:space="0" w:color="auto"/>
              <w:left w:val="single" w:sz="4" w:space="0" w:color="auto"/>
              <w:bottom w:val="single" w:sz="4" w:space="0" w:color="auto"/>
              <w:right w:val="single" w:sz="4" w:space="0" w:color="auto"/>
            </w:tcBorders>
            <w:shd w:val="clear" w:color="auto" w:fill="FFFFFF"/>
            <w:noWrap/>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2019-2030</w:t>
            </w:r>
          </w:p>
        </w:tc>
        <w:tc>
          <w:tcPr>
            <w:tcW w:w="1276" w:type="dxa"/>
            <w:tcBorders>
              <w:top w:val="single" w:sz="4" w:space="0" w:color="auto"/>
              <w:left w:val="single" w:sz="4" w:space="0" w:color="auto"/>
              <w:bottom w:val="single" w:sz="4" w:space="0" w:color="auto"/>
              <w:right w:val="single" w:sz="4" w:space="0" w:color="auto"/>
            </w:tcBorders>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201 212</w:t>
            </w:r>
          </w:p>
        </w:tc>
        <w:tc>
          <w:tcPr>
            <w:tcW w:w="1134" w:type="dxa"/>
            <w:tcBorders>
              <w:top w:val="single" w:sz="4" w:space="0" w:color="auto"/>
              <w:left w:val="single" w:sz="4" w:space="0" w:color="auto"/>
              <w:bottom w:val="single" w:sz="4" w:space="0" w:color="auto"/>
              <w:right w:val="single" w:sz="4" w:space="0" w:color="auto"/>
            </w:tcBorders>
            <w:shd w:val="clear" w:color="auto" w:fill="F2F2F2"/>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p>
        </w:tc>
        <w:tc>
          <w:tcPr>
            <w:tcW w:w="1087"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47 344</w:t>
            </w:r>
          </w:p>
        </w:tc>
        <w:tc>
          <w:tcPr>
            <w:tcW w:w="1229"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47 344</w:t>
            </w:r>
          </w:p>
        </w:tc>
        <w:tc>
          <w:tcPr>
            <w:tcW w:w="1228"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47 344</w:t>
            </w:r>
          </w:p>
        </w:tc>
        <w:tc>
          <w:tcPr>
            <w:tcW w:w="1229"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47 344</w:t>
            </w:r>
          </w:p>
        </w:tc>
        <w:tc>
          <w:tcPr>
            <w:tcW w:w="1228"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11 836</w:t>
            </w:r>
          </w:p>
        </w:tc>
        <w:tc>
          <w:tcPr>
            <w:tcW w:w="1087" w:type="dxa"/>
            <w:tcBorders>
              <w:top w:val="single" w:sz="4" w:space="0" w:color="auto"/>
              <w:left w:val="single" w:sz="4" w:space="0" w:color="auto"/>
              <w:bottom w:val="single" w:sz="4" w:space="0" w:color="auto"/>
              <w:right w:val="single" w:sz="4" w:space="0" w:color="auto"/>
            </w:tcBorders>
            <w:shd w:val="clear" w:color="auto" w:fill="FFFFFF"/>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w:t>
            </w:r>
          </w:p>
        </w:tc>
      </w:tr>
      <w:tr>
        <w:tblPrEx>
          <w:tblW w:w="15168" w:type="dxa"/>
          <w:shd w:val="clear" w:color="auto" w:fill="FFFFFF"/>
          <w:tblLayout w:type="fixed"/>
          <w:tblCellMar>
            <w:left w:w="0" w:type="dxa"/>
            <w:right w:w="0" w:type="dxa"/>
          </w:tblCellMar>
        </w:tblPrEx>
        <w:trPr>
          <w:trHeight w:val="227"/>
        </w:trPr>
        <w:tc>
          <w:tcPr>
            <w:tcW w:w="3742" w:type="dxa"/>
            <w:tcBorders>
              <w:top w:val="single" w:sz="4" w:space="0" w:color="auto"/>
              <w:left w:val="single" w:sz="4" w:space="0" w:color="auto"/>
              <w:bottom w:val="single" w:sz="4" w:space="0" w:color="auto"/>
              <w:right w:val="single" w:sz="4" w:space="0" w:color="auto"/>
            </w:tcBorders>
            <w:shd w:val="clear" w:color="auto" w:fill="FFFFFF"/>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Pożyczka z WFOŚiGW – Program Ograniczenia Niskiej Emisji - 2019</w:t>
            </w:r>
          </w:p>
        </w:tc>
        <w:tc>
          <w:tcPr>
            <w:tcW w:w="964" w:type="dxa"/>
            <w:tcBorders>
              <w:top w:val="single" w:sz="4" w:space="0" w:color="auto"/>
              <w:left w:val="single" w:sz="4" w:space="0" w:color="auto"/>
              <w:bottom w:val="single" w:sz="4" w:space="0" w:color="auto"/>
              <w:right w:val="single" w:sz="4" w:space="0" w:color="auto"/>
            </w:tcBorders>
            <w:shd w:val="clear" w:color="auto" w:fill="FFFFFF"/>
            <w:noWrap/>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2019-2020</w:t>
            </w:r>
          </w:p>
        </w:tc>
        <w:tc>
          <w:tcPr>
            <w:tcW w:w="964" w:type="dxa"/>
            <w:tcBorders>
              <w:top w:val="single" w:sz="4" w:space="0" w:color="auto"/>
              <w:left w:val="single" w:sz="4" w:space="0" w:color="auto"/>
              <w:bottom w:val="single" w:sz="4" w:space="0" w:color="auto"/>
              <w:right w:val="single" w:sz="4" w:space="0" w:color="auto"/>
            </w:tcBorders>
            <w:shd w:val="clear" w:color="auto" w:fill="FFFFFF"/>
            <w:noWrap/>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2021-2026</w:t>
            </w:r>
          </w:p>
        </w:tc>
        <w:tc>
          <w:tcPr>
            <w:tcW w:w="1276" w:type="dxa"/>
            <w:tcBorders>
              <w:top w:val="single" w:sz="4" w:space="0" w:color="auto"/>
              <w:left w:val="single" w:sz="4" w:space="0" w:color="auto"/>
              <w:bottom w:val="single" w:sz="4" w:space="0" w:color="auto"/>
              <w:right w:val="single" w:sz="4" w:space="0" w:color="auto"/>
            </w:tcBorders>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33 211</w:t>
            </w:r>
          </w:p>
        </w:tc>
        <w:tc>
          <w:tcPr>
            <w:tcW w:w="1134" w:type="dxa"/>
            <w:tcBorders>
              <w:top w:val="single" w:sz="4" w:space="0" w:color="auto"/>
              <w:left w:val="single" w:sz="4" w:space="0" w:color="auto"/>
              <w:bottom w:val="single" w:sz="4" w:space="0" w:color="auto"/>
              <w:right w:val="single" w:sz="4" w:space="0" w:color="auto"/>
            </w:tcBorders>
            <w:shd w:val="clear" w:color="auto" w:fill="F2F2F2"/>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p>
        </w:tc>
        <w:tc>
          <w:tcPr>
            <w:tcW w:w="1087"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33 211</w:t>
            </w:r>
          </w:p>
        </w:tc>
        <w:tc>
          <w:tcPr>
            <w:tcW w:w="1229"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w:t>
            </w:r>
          </w:p>
        </w:tc>
        <w:tc>
          <w:tcPr>
            <w:tcW w:w="1228"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w:t>
            </w:r>
          </w:p>
        </w:tc>
        <w:tc>
          <w:tcPr>
            <w:tcW w:w="1229"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w:t>
            </w:r>
          </w:p>
        </w:tc>
        <w:tc>
          <w:tcPr>
            <w:tcW w:w="1228"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w:t>
            </w:r>
          </w:p>
        </w:tc>
        <w:tc>
          <w:tcPr>
            <w:tcW w:w="1087" w:type="dxa"/>
            <w:tcBorders>
              <w:top w:val="single" w:sz="4" w:space="0" w:color="auto"/>
              <w:left w:val="single" w:sz="4" w:space="0" w:color="auto"/>
              <w:bottom w:val="single" w:sz="4" w:space="0" w:color="auto"/>
              <w:right w:val="single" w:sz="4" w:space="0" w:color="auto"/>
            </w:tcBorders>
            <w:shd w:val="clear" w:color="auto" w:fill="FFFFFF"/>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w:t>
            </w:r>
          </w:p>
        </w:tc>
      </w:tr>
      <w:tr>
        <w:tblPrEx>
          <w:tblW w:w="15168" w:type="dxa"/>
          <w:shd w:val="clear" w:color="auto" w:fill="FFFFFF"/>
          <w:tblLayout w:type="fixed"/>
          <w:tblCellMar>
            <w:left w:w="0" w:type="dxa"/>
            <w:right w:w="0" w:type="dxa"/>
          </w:tblCellMar>
        </w:tblPrEx>
        <w:trPr>
          <w:trHeight w:val="227"/>
        </w:trPr>
        <w:tc>
          <w:tcPr>
            <w:tcW w:w="3742" w:type="dxa"/>
            <w:tcBorders>
              <w:top w:val="single" w:sz="4" w:space="0" w:color="auto"/>
              <w:left w:val="single" w:sz="4" w:space="0" w:color="auto"/>
              <w:bottom w:val="single" w:sz="4" w:space="0" w:color="auto"/>
              <w:right w:val="single" w:sz="4" w:space="0" w:color="auto"/>
            </w:tcBorders>
            <w:shd w:val="clear" w:color="auto" w:fill="FFFFFF"/>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Pożyczka z WFOŚiGW – Program Ograniczenia Niskiej Emisji - 2021</w:t>
            </w:r>
          </w:p>
        </w:tc>
        <w:tc>
          <w:tcPr>
            <w:tcW w:w="964" w:type="dxa"/>
            <w:tcBorders>
              <w:top w:val="single" w:sz="4" w:space="0" w:color="auto"/>
              <w:left w:val="single" w:sz="4" w:space="0" w:color="auto"/>
              <w:bottom w:val="single" w:sz="4" w:space="0" w:color="auto"/>
              <w:right w:val="single" w:sz="4" w:space="0" w:color="auto"/>
            </w:tcBorders>
            <w:shd w:val="clear" w:color="auto" w:fill="FFFFFF"/>
            <w:noWrap/>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2021</w:t>
            </w:r>
          </w:p>
        </w:tc>
        <w:tc>
          <w:tcPr>
            <w:tcW w:w="964" w:type="dxa"/>
            <w:tcBorders>
              <w:top w:val="single" w:sz="4" w:space="0" w:color="auto"/>
              <w:left w:val="single" w:sz="4" w:space="0" w:color="auto"/>
              <w:bottom w:val="single" w:sz="4" w:space="0" w:color="auto"/>
              <w:right w:val="single" w:sz="4" w:space="0" w:color="auto"/>
            </w:tcBorders>
            <w:shd w:val="clear" w:color="auto" w:fill="FFFFFF"/>
            <w:noWrap/>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2022-2027</w:t>
            </w:r>
          </w:p>
        </w:tc>
        <w:tc>
          <w:tcPr>
            <w:tcW w:w="1276" w:type="dxa"/>
            <w:tcBorders>
              <w:top w:val="single" w:sz="4" w:space="0" w:color="auto"/>
              <w:left w:val="single" w:sz="4" w:space="0" w:color="auto"/>
              <w:bottom w:val="single" w:sz="4" w:space="0" w:color="auto"/>
              <w:right w:val="single" w:sz="4" w:space="0" w:color="auto"/>
            </w:tcBorders>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508 870</w:t>
            </w:r>
          </w:p>
        </w:tc>
        <w:tc>
          <w:tcPr>
            <w:tcW w:w="1134" w:type="dxa"/>
            <w:tcBorders>
              <w:top w:val="single" w:sz="4" w:space="0" w:color="auto"/>
              <w:left w:val="single" w:sz="4" w:space="0" w:color="auto"/>
              <w:bottom w:val="single" w:sz="4" w:space="0" w:color="auto"/>
              <w:right w:val="single" w:sz="4" w:space="0" w:color="auto"/>
            </w:tcBorders>
            <w:shd w:val="clear" w:color="auto" w:fill="F2F2F2"/>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p>
        </w:tc>
        <w:tc>
          <w:tcPr>
            <w:tcW w:w="1087"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290 784</w:t>
            </w:r>
          </w:p>
        </w:tc>
        <w:tc>
          <w:tcPr>
            <w:tcW w:w="1229"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218 086</w:t>
            </w:r>
          </w:p>
        </w:tc>
        <w:tc>
          <w:tcPr>
            <w:tcW w:w="1228"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w:t>
            </w:r>
          </w:p>
        </w:tc>
        <w:tc>
          <w:tcPr>
            <w:tcW w:w="1229"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w:t>
            </w:r>
          </w:p>
        </w:tc>
        <w:tc>
          <w:tcPr>
            <w:tcW w:w="1228"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w:t>
            </w:r>
          </w:p>
        </w:tc>
        <w:tc>
          <w:tcPr>
            <w:tcW w:w="1087" w:type="dxa"/>
            <w:tcBorders>
              <w:top w:val="single" w:sz="4" w:space="0" w:color="auto"/>
              <w:left w:val="single" w:sz="4" w:space="0" w:color="auto"/>
              <w:bottom w:val="single" w:sz="4" w:space="0" w:color="auto"/>
              <w:right w:val="single" w:sz="4" w:space="0" w:color="auto"/>
            </w:tcBorders>
            <w:shd w:val="clear" w:color="auto" w:fill="FFFFFF"/>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w:t>
            </w:r>
          </w:p>
        </w:tc>
      </w:tr>
      <w:tr>
        <w:tblPrEx>
          <w:tblW w:w="15168" w:type="dxa"/>
          <w:shd w:val="clear" w:color="auto" w:fill="FFFFFF"/>
          <w:tblLayout w:type="fixed"/>
          <w:tblCellMar>
            <w:left w:w="0" w:type="dxa"/>
            <w:right w:w="0" w:type="dxa"/>
          </w:tblCellMar>
        </w:tblPrEx>
        <w:trPr>
          <w:trHeight w:val="227"/>
        </w:trPr>
        <w:tc>
          <w:tcPr>
            <w:tcW w:w="3742" w:type="dxa"/>
            <w:tcBorders>
              <w:top w:val="single" w:sz="4" w:space="0" w:color="auto"/>
              <w:left w:val="single" w:sz="4" w:space="0" w:color="auto"/>
              <w:bottom w:val="single" w:sz="4" w:space="0" w:color="auto"/>
              <w:right w:val="single" w:sz="4" w:space="0" w:color="auto"/>
            </w:tcBorders>
            <w:shd w:val="clear" w:color="auto" w:fill="FFFFFF"/>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Pożyczka z WFOŚiGW – Program Ograniczenia Niskiej Emisji - 2022</w:t>
            </w:r>
          </w:p>
        </w:tc>
        <w:tc>
          <w:tcPr>
            <w:tcW w:w="964" w:type="dxa"/>
            <w:tcBorders>
              <w:top w:val="single" w:sz="4" w:space="0" w:color="auto"/>
              <w:left w:val="single" w:sz="4" w:space="0" w:color="auto"/>
              <w:bottom w:val="single" w:sz="4" w:space="0" w:color="auto"/>
              <w:right w:val="single" w:sz="4" w:space="0" w:color="auto"/>
            </w:tcBorders>
            <w:shd w:val="clear" w:color="auto" w:fill="FFFFFF"/>
            <w:noWrap/>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2022</w:t>
            </w:r>
          </w:p>
        </w:tc>
        <w:tc>
          <w:tcPr>
            <w:tcW w:w="964" w:type="dxa"/>
            <w:tcBorders>
              <w:top w:val="single" w:sz="4" w:space="0" w:color="auto"/>
              <w:left w:val="single" w:sz="4" w:space="0" w:color="auto"/>
              <w:bottom w:val="single" w:sz="4" w:space="0" w:color="auto"/>
              <w:right w:val="single" w:sz="4" w:space="0" w:color="auto"/>
            </w:tcBorders>
            <w:shd w:val="clear" w:color="auto" w:fill="FFFFFF"/>
            <w:noWrap/>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2023-2029</w:t>
            </w:r>
          </w:p>
        </w:tc>
        <w:tc>
          <w:tcPr>
            <w:tcW w:w="1276" w:type="dxa"/>
            <w:tcBorders>
              <w:top w:val="single" w:sz="4" w:space="0" w:color="auto"/>
              <w:left w:val="single" w:sz="4" w:space="0" w:color="auto"/>
              <w:bottom w:val="single" w:sz="4" w:space="0" w:color="auto"/>
              <w:right w:val="single" w:sz="4" w:space="0" w:color="auto"/>
            </w:tcBorders>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884 561</w:t>
            </w:r>
          </w:p>
        </w:tc>
        <w:tc>
          <w:tcPr>
            <w:tcW w:w="1134" w:type="dxa"/>
            <w:tcBorders>
              <w:top w:val="single" w:sz="4" w:space="0" w:color="auto"/>
              <w:left w:val="single" w:sz="4" w:space="0" w:color="auto"/>
              <w:bottom w:val="single" w:sz="4" w:space="0" w:color="auto"/>
              <w:right w:val="single" w:sz="4" w:space="0" w:color="auto"/>
            </w:tcBorders>
            <w:shd w:val="clear" w:color="auto" w:fill="F2F2F2"/>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p>
        </w:tc>
        <w:tc>
          <w:tcPr>
            <w:tcW w:w="1087"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208 132</w:t>
            </w:r>
          </w:p>
        </w:tc>
        <w:tc>
          <w:tcPr>
            <w:tcW w:w="1229"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208 132</w:t>
            </w:r>
          </w:p>
        </w:tc>
        <w:tc>
          <w:tcPr>
            <w:tcW w:w="1228"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208 132</w:t>
            </w:r>
          </w:p>
        </w:tc>
        <w:tc>
          <w:tcPr>
            <w:tcW w:w="1229"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260 165</w:t>
            </w:r>
          </w:p>
        </w:tc>
        <w:tc>
          <w:tcPr>
            <w:tcW w:w="1228"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w:t>
            </w:r>
          </w:p>
        </w:tc>
        <w:tc>
          <w:tcPr>
            <w:tcW w:w="1087" w:type="dxa"/>
            <w:tcBorders>
              <w:top w:val="single" w:sz="4" w:space="0" w:color="auto"/>
              <w:left w:val="single" w:sz="4" w:space="0" w:color="auto"/>
              <w:bottom w:val="single" w:sz="4" w:space="0" w:color="auto"/>
              <w:right w:val="single" w:sz="4" w:space="0" w:color="auto"/>
            </w:tcBorders>
            <w:shd w:val="clear" w:color="auto" w:fill="FFFFFF"/>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w:t>
            </w:r>
          </w:p>
        </w:tc>
      </w:tr>
      <w:tr>
        <w:tblPrEx>
          <w:tblW w:w="15168" w:type="dxa"/>
          <w:shd w:val="clear" w:color="auto" w:fill="FFFFFF"/>
          <w:tblLayout w:type="fixed"/>
          <w:tblCellMar>
            <w:left w:w="0" w:type="dxa"/>
            <w:right w:w="0" w:type="dxa"/>
          </w:tblCellMar>
        </w:tblPrEx>
        <w:trPr>
          <w:trHeight w:val="227"/>
        </w:trPr>
        <w:tc>
          <w:tcPr>
            <w:tcW w:w="3742" w:type="dxa"/>
            <w:tcBorders>
              <w:top w:val="single" w:sz="4" w:space="0" w:color="auto"/>
              <w:left w:val="single" w:sz="4" w:space="0" w:color="auto"/>
              <w:bottom w:val="single" w:sz="4" w:space="0" w:color="auto"/>
              <w:right w:val="single" w:sz="4" w:space="0" w:color="auto"/>
            </w:tcBorders>
            <w:shd w:val="clear" w:color="auto" w:fill="FFFFFF"/>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Pożyczka na sfinansowanie planowanego deficytu w 2025 r. i spłatę wcześniej zaciągniętych zobowiązań (BGK)</w:t>
            </w:r>
          </w:p>
        </w:tc>
        <w:tc>
          <w:tcPr>
            <w:tcW w:w="964" w:type="dxa"/>
            <w:tcBorders>
              <w:top w:val="single" w:sz="4" w:space="0" w:color="auto"/>
              <w:left w:val="single" w:sz="4" w:space="0" w:color="auto"/>
              <w:bottom w:val="single" w:sz="4" w:space="0" w:color="auto"/>
              <w:right w:val="single" w:sz="4" w:space="0" w:color="auto"/>
            </w:tcBorders>
            <w:shd w:val="clear" w:color="auto" w:fill="FFFFFF"/>
            <w:noWrap/>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2025</w:t>
            </w:r>
          </w:p>
        </w:tc>
        <w:tc>
          <w:tcPr>
            <w:tcW w:w="964" w:type="dxa"/>
            <w:tcBorders>
              <w:top w:val="single" w:sz="4" w:space="0" w:color="auto"/>
              <w:left w:val="single" w:sz="4" w:space="0" w:color="auto"/>
              <w:bottom w:val="single" w:sz="4" w:space="0" w:color="auto"/>
              <w:right w:val="single" w:sz="4" w:space="0" w:color="auto"/>
            </w:tcBorders>
            <w:shd w:val="clear" w:color="auto" w:fill="FFFFFF"/>
            <w:noWrap/>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2027-2042</w:t>
            </w:r>
          </w:p>
        </w:tc>
        <w:tc>
          <w:tcPr>
            <w:tcW w:w="1276" w:type="dxa"/>
            <w:tcBorders>
              <w:top w:val="single" w:sz="4" w:space="0" w:color="auto"/>
              <w:left w:val="single" w:sz="4" w:space="0" w:color="auto"/>
              <w:bottom w:val="single" w:sz="4" w:space="0" w:color="auto"/>
              <w:right w:val="single" w:sz="4" w:space="0" w:color="auto"/>
            </w:tcBorders>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60 000 000</w:t>
            </w:r>
          </w:p>
        </w:tc>
        <w:tc>
          <w:tcPr>
            <w:tcW w:w="1134" w:type="dxa"/>
            <w:tcBorders>
              <w:top w:val="single" w:sz="4" w:space="0" w:color="auto"/>
              <w:left w:val="single" w:sz="4" w:space="0" w:color="auto"/>
              <w:bottom w:val="single" w:sz="4" w:space="0" w:color="auto"/>
              <w:right w:val="single" w:sz="4" w:space="0" w:color="auto"/>
            </w:tcBorders>
            <w:shd w:val="clear" w:color="auto" w:fill="F2F2F2"/>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p>
        </w:tc>
        <w:tc>
          <w:tcPr>
            <w:tcW w:w="1087"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w:t>
            </w:r>
          </w:p>
        </w:tc>
        <w:tc>
          <w:tcPr>
            <w:tcW w:w="1229"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2 500 000</w:t>
            </w:r>
          </w:p>
        </w:tc>
        <w:tc>
          <w:tcPr>
            <w:tcW w:w="1228"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2 500 000</w:t>
            </w:r>
          </w:p>
        </w:tc>
        <w:tc>
          <w:tcPr>
            <w:tcW w:w="1229"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2 500 000</w:t>
            </w:r>
          </w:p>
        </w:tc>
        <w:tc>
          <w:tcPr>
            <w:tcW w:w="1228"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2 500 000</w:t>
            </w:r>
          </w:p>
        </w:tc>
        <w:tc>
          <w:tcPr>
            <w:tcW w:w="1087" w:type="dxa"/>
            <w:tcBorders>
              <w:top w:val="single" w:sz="4" w:space="0" w:color="auto"/>
              <w:left w:val="single" w:sz="4" w:space="0" w:color="auto"/>
              <w:bottom w:val="single" w:sz="4" w:space="0" w:color="auto"/>
              <w:right w:val="single" w:sz="4" w:space="0" w:color="auto"/>
            </w:tcBorders>
            <w:shd w:val="clear" w:color="auto" w:fill="FFFFFF"/>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50 000 000</w:t>
            </w:r>
          </w:p>
        </w:tc>
      </w:tr>
      <w:tr>
        <w:tblPrEx>
          <w:tblW w:w="15168" w:type="dxa"/>
          <w:shd w:val="clear" w:color="auto" w:fill="FFFFFF"/>
          <w:tblLayout w:type="fixed"/>
          <w:tblCellMar>
            <w:left w:w="0" w:type="dxa"/>
            <w:right w:w="0" w:type="dxa"/>
          </w:tblCellMar>
        </w:tblPrEx>
        <w:trPr>
          <w:trHeight w:val="227"/>
        </w:trPr>
        <w:tc>
          <w:tcPr>
            <w:tcW w:w="3742" w:type="dxa"/>
            <w:tcBorders>
              <w:top w:val="single" w:sz="4" w:space="0" w:color="auto"/>
              <w:left w:val="single" w:sz="4" w:space="0" w:color="auto"/>
              <w:bottom w:val="single" w:sz="4" w:space="0" w:color="auto"/>
              <w:right w:val="single" w:sz="4" w:space="0" w:color="auto"/>
            </w:tcBorders>
            <w:shd w:val="clear" w:color="auto" w:fill="FFFFFF"/>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16"/>
                <w:szCs w:val="20"/>
                <w:lang w:bidi="ar-SA"/>
              </w:rPr>
            </w:pPr>
            <w:r>
              <w:rPr>
                <w:rFonts w:eastAsia="Times New Roman" w:cs="Times New Roman"/>
                <w:sz w:val="16"/>
                <w:szCs w:val="20"/>
                <w:lang w:bidi="ar-SA"/>
              </w:rPr>
              <w:t>Planowana pożyczka na sfinansowanie planowanego deficytu w 2026 r. i spłatę wcześniej zaciągniętych zobowiązań (100 mln zł)</w:t>
            </w:r>
          </w:p>
        </w:tc>
        <w:tc>
          <w:tcPr>
            <w:tcW w:w="964" w:type="dxa"/>
            <w:tcBorders>
              <w:top w:val="single" w:sz="4" w:space="0" w:color="auto"/>
              <w:left w:val="single" w:sz="4" w:space="0" w:color="auto"/>
              <w:bottom w:val="single" w:sz="4" w:space="0" w:color="auto"/>
              <w:right w:val="single" w:sz="4" w:space="0" w:color="auto"/>
            </w:tcBorders>
            <w:shd w:val="clear" w:color="auto" w:fill="FFFFFF"/>
            <w:noWrap/>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2026</w:t>
            </w:r>
          </w:p>
        </w:tc>
        <w:tc>
          <w:tcPr>
            <w:tcW w:w="964" w:type="dxa"/>
            <w:tcBorders>
              <w:top w:val="single" w:sz="4" w:space="0" w:color="auto"/>
              <w:left w:val="single" w:sz="4" w:space="0" w:color="auto"/>
              <w:bottom w:val="single" w:sz="4" w:space="0" w:color="auto"/>
              <w:right w:val="single" w:sz="4" w:space="0" w:color="auto"/>
            </w:tcBorders>
            <w:shd w:val="clear" w:color="auto" w:fill="FFFFFF"/>
            <w:noWrap/>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16"/>
                <w:szCs w:val="20"/>
                <w:lang w:bidi="ar-SA"/>
              </w:rPr>
            </w:pPr>
            <w:r>
              <w:rPr>
                <w:rFonts w:eastAsia="Times New Roman" w:cs="Times New Roman"/>
                <w:sz w:val="16"/>
                <w:szCs w:val="20"/>
                <w:lang w:bidi="ar-SA"/>
              </w:rPr>
              <w:t>2027-2046</w:t>
            </w:r>
          </w:p>
        </w:tc>
        <w:tc>
          <w:tcPr>
            <w:tcW w:w="1276" w:type="dxa"/>
            <w:tcBorders>
              <w:top w:val="single" w:sz="4" w:space="0" w:color="auto"/>
              <w:left w:val="single" w:sz="4" w:space="0" w:color="auto"/>
              <w:bottom w:val="single" w:sz="4" w:space="0" w:color="auto"/>
              <w:right w:val="single" w:sz="4" w:space="0" w:color="auto"/>
            </w:tcBorders>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100 000 000</w:t>
            </w:r>
          </w:p>
        </w:tc>
        <w:tc>
          <w:tcPr>
            <w:tcW w:w="1087"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w:t>
            </w:r>
          </w:p>
        </w:tc>
        <w:tc>
          <w:tcPr>
            <w:tcW w:w="1229"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2 000 000</w:t>
            </w:r>
          </w:p>
        </w:tc>
        <w:tc>
          <w:tcPr>
            <w:tcW w:w="1228"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2 000 000</w:t>
            </w:r>
          </w:p>
        </w:tc>
        <w:tc>
          <w:tcPr>
            <w:tcW w:w="1229"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2 000 000</w:t>
            </w:r>
          </w:p>
        </w:tc>
        <w:tc>
          <w:tcPr>
            <w:tcW w:w="1228"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2 000 000</w:t>
            </w:r>
          </w:p>
        </w:tc>
        <w:tc>
          <w:tcPr>
            <w:tcW w:w="1087" w:type="dxa"/>
            <w:tcBorders>
              <w:top w:val="single" w:sz="4" w:space="0" w:color="auto"/>
              <w:left w:val="single" w:sz="4" w:space="0" w:color="auto"/>
              <w:bottom w:val="single" w:sz="4" w:space="0" w:color="auto"/>
              <w:right w:val="single" w:sz="4" w:space="0" w:color="auto"/>
            </w:tcBorders>
            <w:shd w:val="clear" w:color="auto" w:fill="FFFFFF"/>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92 000 000</w:t>
            </w:r>
          </w:p>
        </w:tc>
      </w:tr>
      <w:tr>
        <w:tblPrEx>
          <w:tblW w:w="15168" w:type="dxa"/>
          <w:shd w:val="clear" w:color="auto" w:fill="FFFFFF"/>
          <w:tblLayout w:type="fixed"/>
          <w:tblCellMar>
            <w:left w:w="0" w:type="dxa"/>
            <w:right w:w="0" w:type="dxa"/>
          </w:tblCellMar>
        </w:tblPrEx>
        <w:trPr>
          <w:trHeight w:val="113"/>
        </w:trPr>
        <w:tc>
          <w:tcPr>
            <w:tcW w:w="567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RAZEM</w:t>
            </w:r>
          </w:p>
        </w:tc>
        <w:tc>
          <w:tcPr>
            <w:tcW w:w="1276" w:type="dxa"/>
            <w:tcBorders>
              <w:top w:val="single" w:sz="4" w:space="0" w:color="auto"/>
              <w:left w:val="single" w:sz="4" w:space="0" w:color="auto"/>
              <w:bottom w:val="single" w:sz="4" w:space="0" w:color="auto"/>
              <w:right w:val="single" w:sz="4" w:space="0" w:color="auto"/>
            </w:tcBorders>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454 249 946</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100 000 000</w:t>
            </w:r>
          </w:p>
        </w:tc>
        <w:tc>
          <w:tcPr>
            <w:tcW w:w="1087"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33 236 448</w:t>
            </w:r>
          </w:p>
        </w:tc>
        <w:tc>
          <w:tcPr>
            <w:tcW w:w="1229"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 xml:space="preserve">30 130 539 </w:t>
            </w:r>
          </w:p>
        </w:tc>
        <w:tc>
          <w:tcPr>
            <w:tcW w:w="1228"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 xml:space="preserve">30 912 452 </w:t>
            </w:r>
          </w:p>
        </w:tc>
        <w:tc>
          <w:tcPr>
            <w:tcW w:w="1229"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 xml:space="preserve">30 964 485 </w:t>
            </w:r>
          </w:p>
        </w:tc>
        <w:tc>
          <w:tcPr>
            <w:tcW w:w="1228"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30 668 813</w:t>
            </w:r>
          </w:p>
        </w:tc>
        <w:tc>
          <w:tcPr>
            <w:tcW w:w="1087" w:type="dxa"/>
            <w:tcBorders>
              <w:top w:val="single" w:sz="4" w:space="0" w:color="auto"/>
              <w:left w:val="single" w:sz="4" w:space="0" w:color="auto"/>
              <w:bottom w:val="single" w:sz="4" w:space="0" w:color="auto"/>
              <w:right w:val="single" w:sz="4" w:space="0" w:color="auto"/>
            </w:tcBorders>
            <w:shd w:val="clear" w:color="auto" w:fill="FFFFFF"/>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398 337 209</w:t>
            </w:r>
          </w:p>
        </w:tc>
      </w:tr>
      <w:tr>
        <w:tblPrEx>
          <w:tblW w:w="15168" w:type="dxa"/>
          <w:shd w:val="clear" w:color="auto" w:fill="FFFFFF"/>
          <w:tblLayout w:type="fixed"/>
          <w:tblCellMar>
            <w:left w:w="0" w:type="dxa"/>
            <w:right w:w="0" w:type="dxa"/>
          </w:tblCellMar>
        </w:tblPrEx>
        <w:trPr>
          <w:trHeight w:val="227"/>
        </w:trPr>
        <w:tc>
          <w:tcPr>
            <w:tcW w:w="567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Łącznie kwota rozchodów z uwzględnieniem przychodów w roku 2026</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554 249 946</w:t>
            </w:r>
          </w:p>
        </w:tc>
        <w:tc>
          <w:tcPr>
            <w:tcW w:w="1087"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33 236 448</w:t>
            </w:r>
          </w:p>
        </w:tc>
        <w:tc>
          <w:tcPr>
            <w:tcW w:w="1229"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30 130 539</w:t>
            </w:r>
          </w:p>
        </w:tc>
        <w:tc>
          <w:tcPr>
            <w:tcW w:w="1228"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30 912 452</w:t>
            </w:r>
          </w:p>
        </w:tc>
        <w:tc>
          <w:tcPr>
            <w:tcW w:w="1229"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30 964 485</w:t>
            </w:r>
          </w:p>
        </w:tc>
        <w:tc>
          <w:tcPr>
            <w:tcW w:w="1228" w:type="dxa"/>
            <w:tcBorders>
              <w:top w:val="single" w:sz="4" w:space="0" w:color="auto"/>
              <w:left w:val="single" w:sz="4" w:space="0" w:color="auto"/>
              <w:bottom w:val="single" w:sz="4" w:space="0" w:color="auto"/>
              <w:right w:val="single" w:sz="4" w:space="0" w:color="auto"/>
            </w:tcBorders>
            <w:shd w:val="clear" w:color="auto" w:fill="FFFFFF"/>
            <w:noWrap/>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30 668 813</w:t>
            </w:r>
          </w:p>
        </w:tc>
        <w:tc>
          <w:tcPr>
            <w:tcW w:w="1087" w:type="dxa"/>
            <w:tcBorders>
              <w:top w:val="single" w:sz="4" w:space="0" w:color="auto"/>
              <w:left w:val="single" w:sz="4" w:space="0" w:color="auto"/>
              <w:bottom w:val="single" w:sz="4" w:space="0" w:color="auto"/>
              <w:right w:val="single" w:sz="4" w:space="0" w:color="auto"/>
            </w:tcBorders>
            <w:shd w:val="clear" w:color="auto" w:fill="FFFFFF"/>
            <w:vAlign w:val="bottom"/>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398 337 209</w:t>
            </w:r>
          </w:p>
        </w:tc>
      </w:tr>
    </w:tbl>
    <w:p>
      <w:pPr>
        <w:keepNext w:val="0"/>
        <w:keepLines w:val="0"/>
        <w:widowControl/>
        <w:suppressLineNumbers w:val="0"/>
        <w:shd w:val="clear" w:color="auto" w:fill="auto"/>
        <w:suppressAutoHyphens w:val="0"/>
        <w:spacing w:before="240" w:beforeAutospacing="0" w:after="240" w:afterAutospacing="0" w:line="240" w:lineRule="auto"/>
        <w:ind w:left="0" w:right="0" w:firstLine="0"/>
        <w:contextualSpacing w:val="0"/>
        <w:rPr>
          <w:rFonts w:eastAsia="Times New Roman" w:cs="Times New Roman"/>
          <w:b/>
          <w:szCs w:val="20"/>
          <w:lang w:bidi="ar-SA"/>
        </w:rPr>
      </w:pPr>
      <w:r>
        <w:rPr>
          <w:rFonts w:eastAsia="Times New Roman" w:cs="Times New Roman"/>
          <w:b/>
          <w:szCs w:val="20"/>
          <w:lang w:bidi="ar-SA"/>
        </w:rPr>
        <w:t>5.1.1. Kwota przypadających na dany rok kwot pozostałych ustawowych wyłączeń z limitu spłaty zobowiązań</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W wierszu tym ujęto spłaty kredytu w kwocie 10 000 000 zł dotyczącego utraconych dochodów podatkowych w roku 2020, podlegające wyłączeniu z limitu spłaty na podstawie art. 15 zob ust. 1 ustawy z dnia 2 marca 2020 r. o szczególnych rozwiązaniach związanych z zapobieganiem, przeciwdziałaniem i zwalczaniem COVID-19, innych chorób zakaźnych oraz wywołanych nimi sytuacji kryzysowych. Spłata kredytu nastąpi w latach 2026-2030.</w:t>
      </w:r>
    </w:p>
    <w:p>
      <w:pPr>
        <w:keepNext w:val="0"/>
        <w:keepLines w:val="0"/>
        <w:widowControl/>
        <w:suppressLineNumbers w:val="0"/>
        <w:shd w:val="clear" w:color="auto" w:fill="auto"/>
        <w:tabs>
          <w:tab w:val="left" w:pos="0"/>
        </w:tabs>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Pozycja wskazuje na prognozowaną wartość zadłużenia na koniec każdego roku objętego prognozą i uwzględnia zaciągnięte kredyty, wyemitowane papiery wartościowe w latach wcześniejszych.</w:t>
      </w:r>
    </w:p>
    <w:p>
      <w:pPr>
        <w:keepNext w:val="0"/>
        <w:keepLines w:val="0"/>
        <w:widowControl/>
        <w:suppressLineNumbers w:val="0"/>
        <w:shd w:val="clear" w:color="auto" w:fill="auto"/>
        <w:tabs>
          <w:tab w:val="left" w:pos="360"/>
        </w:tabs>
        <w:suppressAutoHyphens w:val="0"/>
        <w:spacing w:before="0" w:beforeAutospacing="0" w:after="12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Przewidywana kwota długu na koniec 2026 r. wyniesie 521 013 498 zł, zgodnie z poniższym zestawieniem:</w:t>
      </w:r>
    </w:p>
    <w:tbl>
      <w:tblPr>
        <w:tblStyle w:val="TableNormal"/>
        <w:tblW w:w="0" w:type="auto"/>
        <w:tblInd w:w="56" w:type="dxa"/>
        <w:tblLayout w:type="fixed"/>
        <w:tblCellMar>
          <w:left w:w="70" w:type="dxa"/>
          <w:right w:w="70" w:type="dxa"/>
        </w:tblCellMar>
        <w:tblLook w:val="04A0"/>
      </w:tblPr>
      <w:tblGrid>
        <w:gridCol w:w="5401"/>
        <w:gridCol w:w="1276"/>
        <w:gridCol w:w="1417"/>
        <w:gridCol w:w="1701"/>
        <w:gridCol w:w="1843"/>
        <w:gridCol w:w="1276"/>
        <w:gridCol w:w="1701"/>
      </w:tblGrid>
      <w:tr>
        <w:tblPrEx>
          <w:tblW w:w="0" w:type="auto"/>
          <w:tblInd w:w="56" w:type="dxa"/>
          <w:tblLayout w:type="fixed"/>
          <w:tblCellMar>
            <w:left w:w="70" w:type="dxa"/>
            <w:right w:w="70" w:type="dxa"/>
          </w:tblCellMar>
          <w:tblLook w:val="04A0"/>
        </w:tblPrEx>
        <w:trPr>
          <w:trHeight w:val="227"/>
        </w:trPr>
        <w:tc>
          <w:tcPr>
            <w:tcW w:w="14615" w:type="dxa"/>
            <w:gridSpan w:val="7"/>
            <w:tcBorders>
              <w:bottom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kwota w złotych</w:t>
            </w:r>
          </w:p>
        </w:tc>
      </w:tr>
      <w:tr>
        <w:tblPrEx>
          <w:tblW w:w="0" w:type="auto"/>
          <w:tblInd w:w="56" w:type="dxa"/>
          <w:tblLayout w:type="fixed"/>
          <w:tblCellMar>
            <w:left w:w="70" w:type="dxa"/>
            <w:right w:w="70" w:type="dxa"/>
          </w:tblCellMar>
          <w:tblLook w:val="04A0"/>
        </w:tblPrEx>
        <w:trPr>
          <w:trHeight w:val="283"/>
        </w:trPr>
        <w:tc>
          <w:tcPr>
            <w:tcW w:w="5401" w:type="dxa"/>
            <w:vMerge w:val="restart"/>
            <w:tcBorders>
              <w:top w:val="single" w:sz="4" w:space="0" w:color="auto"/>
              <w:left w:val="single" w:sz="4" w:space="0" w:color="auto"/>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center"/>
              <w:rPr>
                <w:rFonts w:eastAsia="Times New Roman" w:cs="Times New Roman"/>
                <w:sz w:val="16"/>
                <w:szCs w:val="20"/>
                <w:lang w:bidi="ar-SA"/>
              </w:rPr>
            </w:pPr>
            <w:r>
              <w:rPr>
                <w:rFonts w:eastAsia="Times New Roman" w:cs="Times New Roman"/>
                <w:sz w:val="16"/>
                <w:szCs w:val="20"/>
                <w:lang w:bidi="ar-SA"/>
              </w:rPr>
              <w:t>TYTUŁY DŁUŻNE</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center"/>
              <w:rPr>
                <w:rFonts w:eastAsia="Times New Roman" w:cs="Times New Roman"/>
                <w:sz w:val="16"/>
                <w:szCs w:val="20"/>
                <w:lang w:bidi="ar-SA"/>
              </w:rPr>
            </w:pPr>
            <w:r>
              <w:rPr>
                <w:rFonts w:eastAsia="Times New Roman" w:cs="Times New Roman"/>
                <w:sz w:val="16"/>
                <w:szCs w:val="20"/>
                <w:lang w:bidi="ar-SA"/>
              </w:rPr>
              <w:t>rok</w:t>
              <w:br/>
              <w:t>zaciągnięcia</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center"/>
              <w:rPr>
                <w:rFonts w:eastAsia="Times New Roman" w:cs="Times New Roman"/>
                <w:sz w:val="16"/>
                <w:szCs w:val="20"/>
                <w:lang w:bidi="ar-SA"/>
              </w:rPr>
            </w:pPr>
            <w:r>
              <w:rPr>
                <w:rFonts w:eastAsia="Times New Roman" w:cs="Times New Roman"/>
                <w:sz w:val="16"/>
                <w:szCs w:val="20"/>
                <w:lang w:bidi="ar-SA"/>
              </w:rPr>
              <w:t>planowany</w:t>
              <w:br/>
              <w:t>okres spłaty</w:t>
            </w:r>
          </w:p>
        </w:tc>
        <w:tc>
          <w:tcPr>
            <w:tcW w:w="1701" w:type="dxa"/>
            <w:tcBorders>
              <w:top w:val="single" w:sz="4" w:space="0" w:color="auto"/>
              <w:left w:val="single" w:sz="4" w:space="0" w:color="auto"/>
              <w:bottom w:val="single" w:sz="4" w:space="0" w:color="auto"/>
              <w:right w:val="single" w:sz="4" w:space="0" w:color="auto"/>
            </w:tcBorders>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center"/>
              <w:rPr>
                <w:rFonts w:eastAsia="Times New Roman" w:cs="Times New Roman"/>
                <w:sz w:val="16"/>
                <w:szCs w:val="20"/>
                <w:lang w:bidi="ar-SA"/>
              </w:rPr>
            </w:pPr>
            <w:r>
              <w:rPr>
                <w:rFonts w:eastAsia="Times New Roman" w:cs="Times New Roman"/>
                <w:sz w:val="16"/>
                <w:szCs w:val="20"/>
                <w:lang w:bidi="ar-SA"/>
              </w:rPr>
              <w:t>pozostało do spłaty</w:t>
            </w:r>
          </w:p>
        </w:tc>
        <w:tc>
          <w:tcPr>
            <w:tcW w:w="3119" w:type="dxa"/>
            <w:gridSpan w:val="2"/>
            <w:tcBorders>
              <w:top w:val="single" w:sz="4" w:space="0" w:color="auto"/>
              <w:left w:val="single" w:sz="4" w:space="0" w:color="auto"/>
              <w:bottom w:val="single" w:sz="4" w:space="0" w:color="auto"/>
              <w:right w:val="single" w:sz="4" w:space="0" w:color="auto"/>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center"/>
              <w:rPr>
                <w:rFonts w:eastAsia="Times New Roman" w:cs="Times New Roman"/>
                <w:sz w:val="16"/>
                <w:szCs w:val="20"/>
                <w:lang w:bidi="ar-SA"/>
              </w:rPr>
            </w:pPr>
            <w:r>
              <w:rPr>
                <w:rFonts w:eastAsia="Times New Roman" w:cs="Times New Roman"/>
                <w:sz w:val="16"/>
                <w:szCs w:val="20"/>
                <w:lang w:bidi="ar-SA"/>
              </w:rPr>
              <w:t>2026</w:t>
            </w:r>
          </w:p>
        </w:tc>
        <w:tc>
          <w:tcPr>
            <w:tcW w:w="1701" w:type="dxa"/>
            <w:tcBorders>
              <w:top w:val="single" w:sz="4" w:space="0" w:color="auto"/>
              <w:left w:val="single" w:sz="4" w:space="0" w:color="auto"/>
              <w:bottom w:val="single" w:sz="4" w:space="0" w:color="auto"/>
              <w:right w:val="single" w:sz="4" w:space="0" w:color="auto"/>
            </w:tcBorders>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center"/>
              <w:rPr>
                <w:rFonts w:eastAsia="Times New Roman" w:cs="Times New Roman"/>
                <w:sz w:val="16"/>
                <w:szCs w:val="20"/>
                <w:lang w:bidi="ar-SA"/>
              </w:rPr>
            </w:pPr>
            <w:r>
              <w:rPr>
                <w:rFonts w:eastAsia="Times New Roman" w:cs="Times New Roman"/>
                <w:sz w:val="16"/>
                <w:szCs w:val="20"/>
                <w:lang w:bidi="ar-SA"/>
              </w:rPr>
              <w:t>pozostało do spłaty</w:t>
            </w:r>
          </w:p>
        </w:tc>
      </w:tr>
      <w:tr>
        <w:tblPrEx>
          <w:tblW w:w="0" w:type="auto"/>
          <w:tblInd w:w="56" w:type="dxa"/>
          <w:tblLayout w:type="fixed"/>
          <w:tblCellMar>
            <w:left w:w="70" w:type="dxa"/>
            <w:right w:w="70" w:type="dxa"/>
          </w:tblCellMar>
          <w:tblLook w:val="04A0"/>
        </w:tblPrEx>
        <w:trPr>
          <w:trHeight w:val="283"/>
        </w:trPr>
        <w:tc>
          <w:tcPr>
            <w:tcW w:w="5401" w:type="dxa"/>
            <w:vMerge/>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center"/>
              <w:rPr>
                <w:rFonts w:eastAsia="Times New Roman" w:cs="Times New Roman"/>
                <w:sz w:val="16"/>
                <w:szCs w:val="20"/>
                <w:lang w:bidi="ar-S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center"/>
              <w:rPr>
                <w:rFonts w:eastAsia="Times New Roman" w:cs="Times New Roman"/>
                <w:sz w:val="16"/>
                <w:szCs w:val="20"/>
                <w:lang w:bidi="ar-SA"/>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center"/>
              <w:rPr>
                <w:rFonts w:eastAsia="Times New Roman" w:cs="Times New Roman"/>
                <w:sz w:val="16"/>
                <w:szCs w:val="20"/>
                <w:lang w:bidi="ar-SA"/>
              </w:rPr>
            </w:pPr>
          </w:p>
        </w:tc>
        <w:tc>
          <w:tcPr>
            <w:tcW w:w="1701" w:type="dxa"/>
            <w:tcBorders>
              <w:top w:val="single" w:sz="4" w:space="0" w:color="auto"/>
              <w:left w:val="single" w:sz="4" w:space="0" w:color="auto"/>
              <w:bottom w:val="single" w:sz="4" w:space="0" w:color="auto"/>
              <w:right w:val="single" w:sz="4" w:space="0" w:color="auto"/>
            </w:tcBorders>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center"/>
              <w:rPr>
                <w:rFonts w:eastAsia="Times New Roman" w:cs="Times New Roman"/>
                <w:sz w:val="16"/>
                <w:szCs w:val="20"/>
                <w:lang w:bidi="ar-SA"/>
              </w:rPr>
            </w:pPr>
            <w:r>
              <w:rPr>
                <w:rFonts w:eastAsia="Times New Roman" w:cs="Times New Roman"/>
                <w:sz w:val="16"/>
                <w:szCs w:val="20"/>
                <w:lang w:bidi="ar-SA"/>
              </w:rPr>
              <w:t>na dzień 31.12.2025 r.</w:t>
            </w: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center"/>
              <w:rPr>
                <w:rFonts w:eastAsia="Times New Roman" w:cs="Times New Roman"/>
                <w:sz w:val="16"/>
                <w:szCs w:val="20"/>
                <w:lang w:bidi="ar-SA"/>
              </w:rPr>
            </w:pPr>
            <w:r>
              <w:rPr>
                <w:rFonts w:eastAsia="Times New Roman" w:cs="Times New Roman"/>
                <w:sz w:val="16"/>
                <w:szCs w:val="20"/>
                <w:lang w:bidi="ar-SA"/>
              </w:rPr>
              <w:t>Przychody (kredyty, obligacje, pożyczki)</w:t>
            </w:r>
          </w:p>
        </w:tc>
        <w:tc>
          <w:tcPr>
            <w:tcW w:w="1276" w:type="dxa"/>
            <w:tcBorders>
              <w:top w:val="single" w:sz="4" w:space="0" w:color="auto"/>
              <w:left w:val="single" w:sz="4" w:space="0" w:color="auto"/>
              <w:bottom w:val="single" w:sz="4" w:space="0" w:color="auto"/>
              <w:right w:val="single" w:sz="4" w:space="0" w:color="auto"/>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center"/>
              <w:rPr>
                <w:rFonts w:eastAsia="Times New Roman" w:cs="Times New Roman"/>
                <w:sz w:val="16"/>
                <w:szCs w:val="20"/>
                <w:lang w:bidi="ar-SA"/>
              </w:rPr>
            </w:pPr>
            <w:r>
              <w:rPr>
                <w:rFonts w:eastAsia="Times New Roman" w:cs="Times New Roman"/>
                <w:sz w:val="16"/>
                <w:szCs w:val="20"/>
                <w:lang w:bidi="ar-SA"/>
              </w:rPr>
              <w:t>spłata rat</w:t>
            </w:r>
          </w:p>
        </w:tc>
        <w:tc>
          <w:tcPr>
            <w:tcW w:w="1701" w:type="dxa"/>
            <w:tcBorders>
              <w:top w:val="single" w:sz="4" w:space="0" w:color="auto"/>
              <w:left w:val="single" w:sz="4" w:space="0" w:color="auto"/>
              <w:bottom w:val="single" w:sz="4" w:space="0" w:color="auto"/>
              <w:right w:val="single" w:sz="4" w:space="0" w:color="auto"/>
            </w:tcBorders>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center"/>
              <w:rPr>
                <w:rFonts w:eastAsia="Times New Roman" w:cs="Times New Roman"/>
                <w:sz w:val="16"/>
                <w:szCs w:val="20"/>
                <w:lang w:bidi="ar-SA"/>
              </w:rPr>
            </w:pPr>
            <w:r>
              <w:rPr>
                <w:rFonts w:eastAsia="Times New Roman" w:cs="Times New Roman"/>
                <w:sz w:val="16"/>
                <w:szCs w:val="20"/>
                <w:lang w:bidi="ar-SA"/>
              </w:rPr>
              <w:t>na dzień 31.12.2026 r.</w:t>
            </w:r>
          </w:p>
        </w:tc>
      </w:tr>
      <w:tr>
        <w:tblPrEx>
          <w:tblW w:w="0" w:type="auto"/>
          <w:tblInd w:w="56" w:type="dxa"/>
          <w:tblLayout w:type="fixed"/>
          <w:tblCellMar>
            <w:left w:w="70" w:type="dxa"/>
            <w:right w:w="70" w:type="dxa"/>
          </w:tblCellMar>
          <w:tblLook w:val="04A0"/>
        </w:tblPrEx>
        <w:trPr>
          <w:trHeight w:val="227"/>
        </w:trPr>
        <w:tc>
          <w:tcPr>
            <w:tcW w:w="5401" w:type="dxa"/>
            <w:tcBorders>
              <w:top w:val="single" w:sz="4" w:space="0" w:color="auto"/>
              <w:left w:val="single" w:sz="4" w:space="0" w:color="auto"/>
              <w:bottom w:val="single" w:sz="4" w:space="0" w:color="auto"/>
              <w:right w:val="single" w:sz="4" w:space="0" w:color="auto"/>
            </w:tcBorders>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rPr>
                <w:rFonts w:eastAsia="Times New Roman" w:cs="Times New Roman"/>
                <w:sz w:val="16"/>
                <w:szCs w:val="20"/>
                <w:lang w:bidi="ar-SA"/>
              </w:rPr>
            </w:pPr>
            <w:r>
              <w:rPr>
                <w:rFonts w:eastAsia="Times New Roman" w:cs="Times New Roman"/>
                <w:sz w:val="16"/>
                <w:szCs w:val="20"/>
                <w:lang w:bidi="ar-SA"/>
              </w:rPr>
              <w:t xml:space="preserve">Kredyt na ubytek w dochodach będący skutkiem wystąpienia COVID-19 </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center"/>
              <w:rPr>
                <w:rFonts w:eastAsia="Times New Roman" w:cs="Times New Roman"/>
                <w:sz w:val="16"/>
                <w:szCs w:val="20"/>
                <w:lang w:bidi="ar-SA"/>
              </w:rPr>
            </w:pPr>
            <w:r>
              <w:rPr>
                <w:rFonts w:eastAsia="Times New Roman" w:cs="Times New Roman"/>
                <w:sz w:val="16"/>
                <w:szCs w:val="20"/>
                <w:lang w:bidi="ar-SA"/>
              </w:rPr>
              <w:t>2020</w:t>
            </w:r>
          </w:p>
        </w:tc>
        <w:tc>
          <w:tcPr>
            <w:tcW w:w="1417"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center"/>
              <w:rPr>
                <w:rFonts w:eastAsia="Times New Roman" w:cs="Times New Roman"/>
                <w:sz w:val="16"/>
                <w:szCs w:val="20"/>
                <w:lang w:bidi="ar-SA"/>
              </w:rPr>
            </w:pPr>
            <w:r>
              <w:rPr>
                <w:rFonts w:eastAsia="Times New Roman" w:cs="Times New Roman"/>
                <w:sz w:val="16"/>
                <w:szCs w:val="20"/>
                <w:lang w:bidi="ar-SA"/>
              </w:rPr>
              <w:t>2023-2030</w:t>
            </w:r>
          </w:p>
        </w:tc>
        <w:tc>
          <w:tcPr>
            <w:tcW w:w="1701"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6 250 000</w:t>
            </w:r>
          </w:p>
        </w:tc>
        <w:tc>
          <w:tcPr>
            <w:tcW w:w="184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1 250 000</w:t>
            </w:r>
          </w:p>
        </w:tc>
        <w:tc>
          <w:tcPr>
            <w:tcW w:w="1701"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5 000 000</w:t>
            </w:r>
          </w:p>
        </w:tc>
      </w:tr>
      <w:tr>
        <w:tblPrEx>
          <w:tblW w:w="0" w:type="auto"/>
          <w:tblInd w:w="56" w:type="dxa"/>
          <w:tblLayout w:type="fixed"/>
          <w:tblCellMar>
            <w:left w:w="70" w:type="dxa"/>
            <w:right w:w="70" w:type="dxa"/>
          </w:tblCellMar>
          <w:tblLook w:val="04A0"/>
        </w:tblPrEx>
        <w:trPr>
          <w:trHeight w:val="227"/>
        </w:trPr>
        <w:tc>
          <w:tcPr>
            <w:tcW w:w="5401" w:type="dxa"/>
            <w:tcBorders>
              <w:top w:val="single" w:sz="4" w:space="0" w:color="auto"/>
              <w:left w:val="single" w:sz="4" w:space="0" w:color="auto"/>
              <w:bottom w:val="single" w:sz="4" w:space="0" w:color="auto"/>
              <w:right w:val="single" w:sz="4" w:space="0" w:color="auto"/>
            </w:tcBorders>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rPr>
                <w:rFonts w:eastAsia="Times New Roman" w:cs="Times New Roman"/>
                <w:sz w:val="16"/>
                <w:szCs w:val="20"/>
                <w:lang w:bidi="ar-SA"/>
              </w:rPr>
            </w:pPr>
            <w:r>
              <w:rPr>
                <w:rFonts w:eastAsia="Times New Roman" w:cs="Times New Roman"/>
                <w:sz w:val="16"/>
                <w:szCs w:val="20"/>
                <w:lang w:bidi="ar-SA"/>
              </w:rPr>
              <w:t xml:space="preserve">Kredyt z EBI </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center"/>
              <w:rPr>
                <w:rFonts w:eastAsia="Times New Roman" w:cs="Times New Roman"/>
                <w:sz w:val="16"/>
                <w:szCs w:val="20"/>
                <w:lang w:bidi="ar-SA"/>
              </w:rPr>
            </w:pPr>
            <w:r>
              <w:rPr>
                <w:rFonts w:eastAsia="Times New Roman" w:cs="Times New Roman"/>
                <w:sz w:val="16"/>
                <w:szCs w:val="20"/>
                <w:lang w:bidi="ar-SA"/>
              </w:rPr>
              <w:t>2018-2021</w:t>
            </w:r>
          </w:p>
        </w:tc>
        <w:tc>
          <w:tcPr>
            <w:tcW w:w="1417"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center"/>
              <w:rPr>
                <w:rFonts w:eastAsia="Times New Roman" w:cs="Times New Roman"/>
                <w:sz w:val="16"/>
                <w:szCs w:val="20"/>
                <w:lang w:bidi="ar-SA"/>
              </w:rPr>
            </w:pPr>
            <w:r>
              <w:rPr>
                <w:rFonts w:eastAsia="Times New Roman" w:cs="Times New Roman"/>
                <w:sz w:val="16"/>
                <w:szCs w:val="20"/>
                <w:lang w:bidi="ar-SA"/>
              </w:rPr>
              <w:t>2022-2046</w:t>
            </w:r>
          </w:p>
        </w:tc>
        <w:tc>
          <w:tcPr>
            <w:tcW w:w="1701"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150 372 092</w:t>
            </w:r>
          </w:p>
        </w:tc>
        <w:tc>
          <w:tcPr>
            <w:tcW w:w="184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7 906 977</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142 465 115</w:t>
            </w:r>
          </w:p>
        </w:tc>
      </w:tr>
      <w:tr>
        <w:tblPrEx>
          <w:tblW w:w="0" w:type="auto"/>
          <w:tblInd w:w="56" w:type="dxa"/>
          <w:tblLayout w:type="fixed"/>
          <w:tblCellMar>
            <w:left w:w="70" w:type="dxa"/>
            <w:right w:w="70" w:type="dxa"/>
          </w:tblCellMar>
          <w:tblLook w:val="04A0"/>
        </w:tblPrEx>
        <w:trPr>
          <w:trHeight w:val="227"/>
        </w:trPr>
        <w:tc>
          <w:tcPr>
            <w:tcW w:w="5401" w:type="dxa"/>
            <w:tcBorders>
              <w:top w:val="single" w:sz="4" w:space="0" w:color="auto"/>
              <w:left w:val="single" w:sz="4" w:space="0" w:color="auto"/>
              <w:bottom w:val="single" w:sz="4" w:space="0" w:color="auto"/>
              <w:right w:val="single" w:sz="4" w:space="0" w:color="auto"/>
            </w:tcBorders>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rPr>
                <w:rFonts w:eastAsia="Times New Roman" w:cs="Times New Roman"/>
                <w:sz w:val="16"/>
                <w:szCs w:val="20"/>
                <w:lang w:bidi="ar-SA"/>
              </w:rPr>
            </w:pPr>
            <w:r>
              <w:rPr>
                <w:rFonts w:eastAsia="Times New Roman" w:cs="Times New Roman"/>
                <w:sz w:val="16"/>
                <w:szCs w:val="20"/>
                <w:lang w:bidi="ar-SA"/>
              </w:rPr>
              <w:t>Kredyt na sfinansowanie części deficytu w 2022r. i spłatę wcześniej zaciągniętych zobowiązań - 40 mln (PKO BP S.A.)</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center"/>
              <w:rPr>
                <w:rFonts w:eastAsia="Times New Roman" w:cs="Times New Roman"/>
                <w:sz w:val="16"/>
                <w:szCs w:val="20"/>
                <w:lang w:bidi="ar-SA"/>
              </w:rPr>
            </w:pPr>
            <w:r>
              <w:rPr>
                <w:rFonts w:eastAsia="Times New Roman" w:cs="Times New Roman"/>
                <w:sz w:val="16"/>
                <w:szCs w:val="20"/>
                <w:lang w:bidi="ar-SA"/>
              </w:rPr>
              <w:t>2022</w:t>
            </w:r>
          </w:p>
        </w:tc>
        <w:tc>
          <w:tcPr>
            <w:tcW w:w="1417"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center"/>
              <w:rPr>
                <w:rFonts w:eastAsia="Times New Roman" w:cs="Times New Roman"/>
                <w:sz w:val="16"/>
                <w:szCs w:val="20"/>
                <w:lang w:bidi="ar-SA"/>
              </w:rPr>
            </w:pPr>
            <w:r>
              <w:rPr>
                <w:rFonts w:eastAsia="Times New Roman" w:cs="Times New Roman"/>
                <w:sz w:val="16"/>
                <w:szCs w:val="20"/>
                <w:lang w:bidi="ar-SA"/>
              </w:rPr>
              <w:t>2027-2036</w:t>
            </w:r>
          </w:p>
        </w:tc>
        <w:tc>
          <w:tcPr>
            <w:tcW w:w="1701"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40 000 000</w:t>
            </w:r>
          </w:p>
        </w:tc>
        <w:tc>
          <w:tcPr>
            <w:tcW w:w="184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w:t>
            </w:r>
          </w:p>
        </w:tc>
        <w:tc>
          <w:tcPr>
            <w:tcW w:w="1701"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40 000 000</w:t>
            </w:r>
          </w:p>
        </w:tc>
      </w:tr>
      <w:tr>
        <w:tblPrEx>
          <w:tblW w:w="0" w:type="auto"/>
          <w:tblInd w:w="56" w:type="dxa"/>
          <w:tblLayout w:type="fixed"/>
          <w:tblCellMar>
            <w:left w:w="70" w:type="dxa"/>
            <w:right w:w="70" w:type="dxa"/>
          </w:tblCellMar>
          <w:tblLook w:val="04A0"/>
        </w:tblPrEx>
        <w:trPr>
          <w:trHeight w:val="227"/>
        </w:trPr>
        <w:tc>
          <w:tcPr>
            <w:tcW w:w="5401" w:type="dxa"/>
            <w:tcBorders>
              <w:top w:val="single" w:sz="4" w:space="0" w:color="auto"/>
              <w:left w:val="single" w:sz="4" w:space="0" w:color="auto"/>
              <w:bottom w:val="single" w:sz="4" w:space="0" w:color="auto"/>
              <w:right w:val="single" w:sz="4" w:space="0" w:color="auto"/>
            </w:tcBorders>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rPr>
                <w:rFonts w:eastAsia="Times New Roman" w:cs="Times New Roman"/>
                <w:sz w:val="16"/>
                <w:szCs w:val="20"/>
                <w:lang w:bidi="ar-SA"/>
              </w:rPr>
            </w:pPr>
            <w:r>
              <w:rPr>
                <w:rFonts w:eastAsia="Times New Roman" w:cs="Times New Roman"/>
                <w:sz w:val="16"/>
                <w:szCs w:val="20"/>
                <w:lang w:bidi="ar-SA"/>
              </w:rPr>
              <w:t>Kredyt na sfinansowanie części deficytu w 2023r. i spłatę wcześniej zaciągniętych zobowiązań -50 mln (PKO BP S.A.)</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center"/>
              <w:rPr>
                <w:rFonts w:eastAsia="Times New Roman" w:cs="Times New Roman"/>
                <w:sz w:val="16"/>
                <w:szCs w:val="20"/>
                <w:lang w:bidi="ar-SA"/>
              </w:rPr>
            </w:pPr>
            <w:r>
              <w:rPr>
                <w:rFonts w:eastAsia="Times New Roman" w:cs="Times New Roman"/>
                <w:sz w:val="16"/>
                <w:szCs w:val="20"/>
                <w:lang w:bidi="ar-SA"/>
              </w:rPr>
              <w:t>2023</w:t>
            </w:r>
          </w:p>
        </w:tc>
        <w:tc>
          <w:tcPr>
            <w:tcW w:w="1417"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center"/>
              <w:rPr>
                <w:rFonts w:eastAsia="Times New Roman" w:cs="Times New Roman"/>
                <w:sz w:val="16"/>
                <w:szCs w:val="20"/>
                <w:lang w:bidi="ar-SA"/>
              </w:rPr>
            </w:pPr>
            <w:r>
              <w:rPr>
                <w:rFonts w:eastAsia="Times New Roman" w:cs="Times New Roman"/>
                <w:sz w:val="16"/>
                <w:szCs w:val="20"/>
                <w:lang w:bidi="ar-SA"/>
              </w:rPr>
              <w:t>2027-2039</w:t>
            </w:r>
          </w:p>
        </w:tc>
        <w:tc>
          <w:tcPr>
            <w:tcW w:w="1701"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50 000 000</w:t>
            </w:r>
          </w:p>
        </w:tc>
        <w:tc>
          <w:tcPr>
            <w:tcW w:w="1843"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w:t>
            </w:r>
          </w:p>
        </w:tc>
        <w:tc>
          <w:tcPr>
            <w:tcW w:w="1701"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50 000 000</w:t>
            </w:r>
          </w:p>
        </w:tc>
      </w:tr>
      <w:tr>
        <w:tblPrEx>
          <w:tblW w:w="0" w:type="auto"/>
          <w:tblInd w:w="56" w:type="dxa"/>
          <w:tblLayout w:type="fixed"/>
          <w:tblCellMar>
            <w:left w:w="70" w:type="dxa"/>
            <w:right w:w="70" w:type="dxa"/>
          </w:tblCellMar>
          <w:tblLook w:val="04A0"/>
        </w:tblPrEx>
        <w:trPr>
          <w:trHeight w:val="227"/>
        </w:trPr>
        <w:tc>
          <w:tcPr>
            <w:tcW w:w="5401" w:type="dxa"/>
            <w:tcBorders>
              <w:top w:val="single" w:sz="4" w:space="0" w:color="auto"/>
              <w:left w:val="single" w:sz="4" w:space="0" w:color="auto"/>
              <w:bottom w:val="single" w:sz="4" w:space="0" w:color="auto"/>
              <w:right w:val="single" w:sz="4" w:space="0" w:color="auto"/>
            </w:tcBorders>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rPr>
                <w:rFonts w:eastAsia="Times New Roman" w:cs="Times New Roman"/>
                <w:sz w:val="16"/>
                <w:szCs w:val="20"/>
                <w:lang w:bidi="ar-SA"/>
              </w:rPr>
            </w:pPr>
            <w:r>
              <w:rPr>
                <w:rFonts w:eastAsia="Times New Roman" w:cs="Times New Roman"/>
                <w:sz w:val="16"/>
                <w:szCs w:val="20"/>
                <w:lang w:bidi="ar-SA"/>
              </w:rPr>
              <w:t>Obligacje 86 mln 2013r. (Pekao+PKO/Nordea)</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center"/>
              <w:rPr>
                <w:rFonts w:eastAsia="Times New Roman" w:cs="Times New Roman"/>
                <w:sz w:val="16"/>
                <w:szCs w:val="20"/>
                <w:lang w:bidi="ar-SA"/>
              </w:rPr>
            </w:pPr>
            <w:r>
              <w:rPr>
                <w:rFonts w:eastAsia="Times New Roman" w:cs="Times New Roman"/>
                <w:sz w:val="16"/>
                <w:szCs w:val="20"/>
                <w:lang w:bidi="ar-SA"/>
              </w:rPr>
              <w:t>2013</w:t>
            </w:r>
          </w:p>
        </w:tc>
        <w:tc>
          <w:tcPr>
            <w:tcW w:w="1417"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center"/>
              <w:rPr>
                <w:rFonts w:eastAsia="Times New Roman" w:cs="Times New Roman"/>
                <w:sz w:val="16"/>
                <w:szCs w:val="20"/>
                <w:lang w:bidi="ar-SA"/>
              </w:rPr>
            </w:pPr>
            <w:r>
              <w:rPr>
                <w:rFonts w:eastAsia="Times New Roman" w:cs="Times New Roman"/>
                <w:sz w:val="16"/>
                <w:szCs w:val="20"/>
                <w:lang w:bidi="ar-SA"/>
              </w:rPr>
              <w:t>2021-2026</w:t>
            </w:r>
          </w:p>
        </w:tc>
        <w:tc>
          <w:tcPr>
            <w:tcW w:w="1701"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16 500 000</w:t>
            </w:r>
          </w:p>
        </w:tc>
        <w:tc>
          <w:tcPr>
            <w:tcW w:w="184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16 500 000</w:t>
            </w:r>
          </w:p>
        </w:tc>
        <w:tc>
          <w:tcPr>
            <w:tcW w:w="1701"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w:t>
            </w:r>
          </w:p>
        </w:tc>
      </w:tr>
      <w:tr>
        <w:tblPrEx>
          <w:tblW w:w="0" w:type="auto"/>
          <w:tblInd w:w="56" w:type="dxa"/>
          <w:tblLayout w:type="fixed"/>
          <w:tblCellMar>
            <w:left w:w="70" w:type="dxa"/>
            <w:right w:w="70" w:type="dxa"/>
          </w:tblCellMar>
          <w:tblLook w:val="04A0"/>
        </w:tblPrEx>
        <w:trPr>
          <w:trHeight w:val="227"/>
        </w:trPr>
        <w:tc>
          <w:tcPr>
            <w:tcW w:w="5401" w:type="dxa"/>
            <w:tcBorders>
              <w:top w:val="single" w:sz="4" w:space="0" w:color="auto"/>
              <w:left w:val="single" w:sz="4" w:space="0" w:color="auto"/>
              <w:bottom w:val="single" w:sz="4" w:space="0" w:color="auto"/>
              <w:right w:val="single" w:sz="4" w:space="0" w:color="auto"/>
            </w:tcBorders>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rPr>
                <w:rFonts w:eastAsia="Times New Roman" w:cs="Times New Roman"/>
                <w:sz w:val="16"/>
                <w:szCs w:val="20"/>
                <w:lang w:bidi="ar-SA"/>
              </w:rPr>
            </w:pPr>
            <w:r>
              <w:rPr>
                <w:rFonts w:eastAsia="Times New Roman" w:cs="Times New Roman"/>
                <w:sz w:val="16"/>
                <w:szCs w:val="20"/>
                <w:lang w:bidi="ar-SA"/>
              </w:rPr>
              <w:t>Obligacje 25 mln 2015r. (PKO BP)</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center"/>
              <w:rPr>
                <w:rFonts w:eastAsia="Times New Roman" w:cs="Times New Roman"/>
                <w:sz w:val="16"/>
                <w:szCs w:val="20"/>
                <w:lang w:bidi="ar-SA"/>
              </w:rPr>
            </w:pPr>
            <w:r>
              <w:rPr>
                <w:rFonts w:eastAsia="Times New Roman" w:cs="Times New Roman"/>
                <w:sz w:val="16"/>
                <w:szCs w:val="20"/>
                <w:lang w:bidi="ar-SA"/>
              </w:rPr>
              <w:t>2015</w:t>
            </w:r>
          </w:p>
        </w:tc>
        <w:tc>
          <w:tcPr>
            <w:tcW w:w="1417"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center"/>
              <w:rPr>
                <w:rFonts w:eastAsia="Times New Roman" w:cs="Times New Roman"/>
                <w:sz w:val="16"/>
                <w:szCs w:val="20"/>
                <w:lang w:bidi="ar-SA"/>
              </w:rPr>
            </w:pPr>
            <w:r>
              <w:rPr>
                <w:rFonts w:eastAsia="Times New Roman" w:cs="Times New Roman"/>
                <w:sz w:val="16"/>
                <w:szCs w:val="20"/>
                <w:lang w:bidi="ar-SA"/>
              </w:rPr>
              <w:t>2021-2026</w:t>
            </w:r>
          </w:p>
        </w:tc>
        <w:tc>
          <w:tcPr>
            <w:tcW w:w="1701"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5 000 000</w:t>
            </w:r>
          </w:p>
        </w:tc>
        <w:tc>
          <w:tcPr>
            <w:tcW w:w="184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5 000 000</w:t>
            </w:r>
          </w:p>
        </w:tc>
        <w:tc>
          <w:tcPr>
            <w:tcW w:w="1701"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w:t>
            </w:r>
          </w:p>
        </w:tc>
      </w:tr>
      <w:tr>
        <w:tblPrEx>
          <w:tblW w:w="0" w:type="auto"/>
          <w:tblInd w:w="56" w:type="dxa"/>
          <w:tblLayout w:type="fixed"/>
          <w:tblCellMar>
            <w:left w:w="70" w:type="dxa"/>
            <w:right w:w="70" w:type="dxa"/>
          </w:tblCellMar>
          <w:tblLook w:val="04A0"/>
        </w:tblPrEx>
        <w:trPr>
          <w:trHeight w:val="227"/>
        </w:trPr>
        <w:tc>
          <w:tcPr>
            <w:tcW w:w="5401" w:type="dxa"/>
            <w:tcBorders>
              <w:top w:val="single" w:sz="4" w:space="0" w:color="auto"/>
              <w:left w:val="single" w:sz="4" w:space="0" w:color="auto"/>
              <w:bottom w:val="single" w:sz="4" w:space="0" w:color="auto"/>
              <w:right w:val="single" w:sz="4" w:space="0" w:color="auto"/>
            </w:tcBorders>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rPr>
                <w:rFonts w:eastAsia="Times New Roman" w:cs="Times New Roman"/>
                <w:sz w:val="16"/>
                <w:szCs w:val="20"/>
                <w:lang w:bidi="ar-SA"/>
              </w:rPr>
            </w:pPr>
            <w:r>
              <w:rPr>
                <w:rFonts w:eastAsia="Times New Roman" w:cs="Times New Roman"/>
                <w:sz w:val="16"/>
                <w:szCs w:val="20"/>
                <w:lang w:bidi="ar-SA"/>
              </w:rPr>
              <w:t>Obligacje 40 mln 2016r. (Pekao S.A.)</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center"/>
              <w:rPr>
                <w:rFonts w:eastAsia="Times New Roman" w:cs="Times New Roman"/>
                <w:sz w:val="16"/>
                <w:szCs w:val="20"/>
                <w:lang w:bidi="ar-SA"/>
              </w:rPr>
            </w:pPr>
            <w:r>
              <w:rPr>
                <w:rFonts w:eastAsia="Times New Roman" w:cs="Times New Roman"/>
                <w:sz w:val="16"/>
                <w:szCs w:val="20"/>
                <w:lang w:bidi="ar-SA"/>
              </w:rPr>
              <w:t>2016</w:t>
            </w:r>
          </w:p>
        </w:tc>
        <w:tc>
          <w:tcPr>
            <w:tcW w:w="1417"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center"/>
              <w:rPr>
                <w:rFonts w:eastAsia="Times New Roman" w:cs="Times New Roman"/>
                <w:sz w:val="16"/>
                <w:szCs w:val="20"/>
                <w:lang w:bidi="ar-SA"/>
              </w:rPr>
            </w:pPr>
            <w:r>
              <w:rPr>
                <w:rFonts w:eastAsia="Times New Roman" w:cs="Times New Roman"/>
                <w:sz w:val="16"/>
                <w:szCs w:val="20"/>
                <w:lang w:bidi="ar-SA"/>
              </w:rPr>
              <w:t>2017-2030</w:t>
            </w:r>
          </w:p>
        </w:tc>
        <w:tc>
          <w:tcPr>
            <w:tcW w:w="1701"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22 000 000</w:t>
            </w:r>
          </w:p>
        </w:tc>
        <w:tc>
          <w:tcPr>
            <w:tcW w:w="184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2 000 000</w:t>
            </w:r>
          </w:p>
        </w:tc>
        <w:tc>
          <w:tcPr>
            <w:tcW w:w="1701"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20 000 000</w:t>
            </w:r>
          </w:p>
        </w:tc>
      </w:tr>
      <w:tr>
        <w:tblPrEx>
          <w:tblW w:w="0" w:type="auto"/>
          <w:tblInd w:w="56" w:type="dxa"/>
          <w:tblLayout w:type="fixed"/>
          <w:tblCellMar>
            <w:left w:w="70" w:type="dxa"/>
            <w:right w:w="70" w:type="dxa"/>
          </w:tblCellMar>
          <w:tblLook w:val="04A0"/>
        </w:tblPrEx>
        <w:trPr>
          <w:trHeight w:val="227"/>
        </w:trPr>
        <w:tc>
          <w:tcPr>
            <w:tcW w:w="5401" w:type="dxa"/>
            <w:tcBorders>
              <w:top w:val="single" w:sz="4" w:space="0" w:color="auto"/>
              <w:left w:val="single" w:sz="4" w:space="0" w:color="auto"/>
              <w:bottom w:val="single" w:sz="4" w:space="0" w:color="auto"/>
              <w:right w:val="single" w:sz="4" w:space="0" w:color="auto"/>
            </w:tcBorders>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rPr>
                <w:rFonts w:eastAsia="Times New Roman" w:cs="Times New Roman"/>
                <w:sz w:val="16"/>
                <w:szCs w:val="20"/>
                <w:lang w:bidi="ar-SA"/>
              </w:rPr>
            </w:pPr>
            <w:r>
              <w:rPr>
                <w:rFonts w:eastAsia="Times New Roman" w:cs="Times New Roman"/>
                <w:sz w:val="16"/>
                <w:szCs w:val="20"/>
                <w:lang w:bidi="ar-SA"/>
              </w:rPr>
              <w:t>Obligacje 25 mln 2020r. (BGK)</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center"/>
              <w:rPr>
                <w:rFonts w:eastAsia="Times New Roman" w:cs="Times New Roman"/>
                <w:sz w:val="16"/>
                <w:szCs w:val="20"/>
                <w:lang w:bidi="ar-SA"/>
              </w:rPr>
            </w:pPr>
            <w:r>
              <w:rPr>
                <w:rFonts w:eastAsia="Times New Roman" w:cs="Times New Roman"/>
                <w:sz w:val="16"/>
                <w:szCs w:val="20"/>
                <w:lang w:bidi="ar-SA"/>
              </w:rPr>
              <w:t>2020</w:t>
            </w:r>
          </w:p>
        </w:tc>
        <w:tc>
          <w:tcPr>
            <w:tcW w:w="1417"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center"/>
              <w:rPr>
                <w:rFonts w:eastAsia="Times New Roman" w:cs="Times New Roman"/>
                <w:sz w:val="16"/>
                <w:szCs w:val="20"/>
                <w:lang w:bidi="ar-SA"/>
              </w:rPr>
            </w:pPr>
            <w:r>
              <w:rPr>
                <w:rFonts w:eastAsia="Times New Roman" w:cs="Times New Roman"/>
                <w:sz w:val="16"/>
                <w:szCs w:val="20"/>
                <w:lang w:bidi="ar-SA"/>
              </w:rPr>
              <w:t>2027-2036</w:t>
            </w:r>
          </w:p>
        </w:tc>
        <w:tc>
          <w:tcPr>
            <w:tcW w:w="1701"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25 000 000</w:t>
            </w:r>
          </w:p>
        </w:tc>
        <w:tc>
          <w:tcPr>
            <w:tcW w:w="184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w:t>
            </w:r>
          </w:p>
        </w:tc>
        <w:tc>
          <w:tcPr>
            <w:tcW w:w="1701"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25 000 000</w:t>
            </w:r>
          </w:p>
        </w:tc>
      </w:tr>
      <w:tr>
        <w:tblPrEx>
          <w:tblW w:w="0" w:type="auto"/>
          <w:tblInd w:w="56" w:type="dxa"/>
          <w:tblLayout w:type="fixed"/>
          <w:tblCellMar>
            <w:left w:w="70" w:type="dxa"/>
            <w:right w:w="70" w:type="dxa"/>
          </w:tblCellMar>
          <w:tblLook w:val="04A0"/>
        </w:tblPrEx>
        <w:trPr>
          <w:trHeight w:val="227"/>
        </w:trPr>
        <w:tc>
          <w:tcPr>
            <w:tcW w:w="5401" w:type="dxa"/>
            <w:tcBorders>
              <w:top w:val="single" w:sz="4" w:space="0" w:color="auto"/>
              <w:left w:val="single" w:sz="4" w:space="0" w:color="auto"/>
              <w:bottom w:val="single" w:sz="4" w:space="0" w:color="auto"/>
              <w:right w:val="single" w:sz="4" w:space="0" w:color="auto"/>
            </w:tcBorders>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rPr>
                <w:rFonts w:eastAsia="Times New Roman" w:cs="Times New Roman"/>
                <w:sz w:val="16"/>
                <w:szCs w:val="20"/>
                <w:lang w:bidi="ar-SA"/>
              </w:rPr>
            </w:pPr>
            <w:r>
              <w:rPr>
                <w:rFonts w:eastAsia="Times New Roman" w:cs="Times New Roman"/>
                <w:sz w:val="16"/>
                <w:szCs w:val="20"/>
                <w:lang w:bidi="ar-SA"/>
              </w:rPr>
              <w:t>Obligacje 30 mln zł 2021r. (BGK)</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center"/>
              <w:rPr>
                <w:rFonts w:eastAsia="Times New Roman" w:cs="Times New Roman"/>
                <w:sz w:val="16"/>
                <w:szCs w:val="20"/>
                <w:lang w:bidi="ar-SA"/>
              </w:rPr>
            </w:pPr>
            <w:r>
              <w:rPr>
                <w:rFonts w:eastAsia="Times New Roman" w:cs="Times New Roman"/>
                <w:sz w:val="16"/>
                <w:szCs w:val="20"/>
                <w:lang w:bidi="ar-SA"/>
              </w:rPr>
              <w:t>2021</w:t>
            </w:r>
          </w:p>
        </w:tc>
        <w:tc>
          <w:tcPr>
            <w:tcW w:w="1417"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center"/>
              <w:rPr>
                <w:rFonts w:eastAsia="Times New Roman" w:cs="Times New Roman"/>
                <w:sz w:val="16"/>
                <w:szCs w:val="20"/>
                <w:lang w:bidi="ar-SA"/>
              </w:rPr>
            </w:pPr>
            <w:r>
              <w:rPr>
                <w:rFonts w:eastAsia="Times New Roman" w:cs="Times New Roman"/>
                <w:sz w:val="16"/>
                <w:szCs w:val="20"/>
                <w:lang w:bidi="ar-SA"/>
              </w:rPr>
              <w:t>2027-2036</w:t>
            </w:r>
          </w:p>
        </w:tc>
        <w:tc>
          <w:tcPr>
            <w:tcW w:w="1701"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30 000 000</w:t>
            </w:r>
          </w:p>
        </w:tc>
        <w:tc>
          <w:tcPr>
            <w:tcW w:w="184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w:t>
            </w:r>
          </w:p>
        </w:tc>
        <w:tc>
          <w:tcPr>
            <w:tcW w:w="1701"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30 000 000</w:t>
            </w:r>
          </w:p>
        </w:tc>
      </w:tr>
      <w:tr>
        <w:tblPrEx>
          <w:tblW w:w="0" w:type="auto"/>
          <w:tblInd w:w="56" w:type="dxa"/>
          <w:tblLayout w:type="fixed"/>
          <w:tblCellMar>
            <w:left w:w="70" w:type="dxa"/>
            <w:right w:w="70" w:type="dxa"/>
          </w:tblCellMar>
          <w:tblLook w:val="04A0"/>
        </w:tblPrEx>
        <w:trPr>
          <w:trHeight w:val="227"/>
        </w:trPr>
        <w:tc>
          <w:tcPr>
            <w:tcW w:w="5401" w:type="dxa"/>
            <w:tcBorders>
              <w:top w:val="single" w:sz="4" w:space="0" w:color="auto"/>
              <w:left w:val="single" w:sz="4" w:space="0" w:color="auto"/>
              <w:bottom w:val="single" w:sz="4" w:space="0" w:color="auto"/>
              <w:right w:val="single" w:sz="4" w:space="0" w:color="auto"/>
            </w:tcBorders>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rPr>
                <w:rFonts w:eastAsia="Times New Roman" w:cs="Times New Roman"/>
                <w:sz w:val="16"/>
                <w:szCs w:val="20"/>
                <w:lang w:bidi="ar-SA"/>
              </w:rPr>
            </w:pPr>
            <w:r>
              <w:rPr>
                <w:rFonts w:eastAsia="Times New Roman" w:cs="Times New Roman"/>
                <w:sz w:val="16"/>
                <w:szCs w:val="20"/>
                <w:lang w:bidi="ar-SA"/>
              </w:rPr>
              <w:t>Obligacje 25 mln zł 2023r. (BGK)</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center"/>
              <w:rPr>
                <w:rFonts w:eastAsia="Times New Roman" w:cs="Times New Roman"/>
                <w:sz w:val="16"/>
                <w:szCs w:val="20"/>
                <w:lang w:bidi="ar-SA"/>
              </w:rPr>
            </w:pPr>
            <w:r>
              <w:rPr>
                <w:rFonts w:eastAsia="Times New Roman" w:cs="Times New Roman"/>
                <w:sz w:val="16"/>
                <w:szCs w:val="20"/>
                <w:lang w:bidi="ar-SA"/>
              </w:rPr>
              <w:t>2023</w:t>
            </w:r>
          </w:p>
        </w:tc>
        <w:tc>
          <w:tcPr>
            <w:tcW w:w="1417"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center"/>
              <w:rPr>
                <w:rFonts w:eastAsia="Times New Roman" w:cs="Times New Roman"/>
                <w:sz w:val="16"/>
                <w:szCs w:val="20"/>
                <w:lang w:bidi="ar-SA"/>
              </w:rPr>
            </w:pPr>
            <w:r>
              <w:rPr>
                <w:rFonts w:eastAsia="Times New Roman" w:cs="Times New Roman"/>
                <w:sz w:val="16"/>
                <w:szCs w:val="20"/>
                <w:lang w:bidi="ar-SA"/>
              </w:rPr>
              <w:t>2027-2036</w:t>
            </w:r>
          </w:p>
        </w:tc>
        <w:tc>
          <w:tcPr>
            <w:tcW w:w="1701"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25 000 000</w:t>
            </w:r>
          </w:p>
        </w:tc>
        <w:tc>
          <w:tcPr>
            <w:tcW w:w="184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w:t>
            </w:r>
          </w:p>
        </w:tc>
        <w:tc>
          <w:tcPr>
            <w:tcW w:w="1701"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25 000 000</w:t>
            </w:r>
          </w:p>
        </w:tc>
      </w:tr>
      <w:tr>
        <w:tblPrEx>
          <w:tblW w:w="0" w:type="auto"/>
          <w:tblInd w:w="56" w:type="dxa"/>
          <w:tblLayout w:type="fixed"/>
          <w:tblCellMar>
            <w:left w:w="70" w:type="dxa"/>
            <w:right w:w="70" w:type="dxa"/>
          </w:tblCellMar>
          <w:tblLook w:val="04A0"/>
        </w:tblPrEx>
        <w:trPr>
          <w:trHeight w:val="227"/>
        </w:trPr>
        <w:tc>
          <w:tcPr>
            <w:tcW w:w="5401" w:type="dxa"/>
            <w:tcBorders>
              <w:top w:val="single" w:sz="4" w:space="0" w:color="auto"/>
              <w:left w:val="single" w:sz="4" w:space="0" w:color="auto"/>
              <w:bottom w:val="single" w:sz="4" w:space="0" w:color="auto"/>
              <w:right w:val="single" w:sz="4" w:space="0" w:color="auto"/>
            </w:tcBorders>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rPr>
                <w:rFonts w:eastAsia="Times New Roman" w:cs="Times New Roman"/>
                <w:sz w:val="16"/>
                <w:szCs w:val="20"/>
                <w:lang w:bidi="ar-SA"/>
              </w:rPr>
            </w:pPr>
            <w:r>
              <w:rPr>
                <w:rFonts w:eastAsia="Times New Roman" w:cs="Times New Roman"/>
                <w:sz w:val="16"/>
                <w:szCs w:val="20"/>
                <w:lang w:bidi="ar-SA"/>
              </w:rPr>
              <w:t>Obligacje 22,5 mln zł 2024 r. (BGK)</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center"/>
              <w:rPr>
                <w:rFonts w:eastAsia="Times New Roman" w:cs="Times New Roman"/>
                <w:sz w:val="16"/>
                <w:szCs w:val="20"/>
                <w:lang w:bidi="ar-SA"/>
              </w:rPr>
            </w:pPr>
            <w:r>
              <w:rPr>
                <w:rFonts w:eastAsia="Times New Roman" w:cs="Times New Roman"/>
                <w:sz w:val="16"/>
                <w:szCs w:val="20"/>
                <w:lang w:bidi="ar-SA"/>
              </w:rPr>
              <w:t>2024</w:t>
            </w:r>
          </w:p>
        </w:tc>
        <w:tc>
          <w:tcPr>
            <w:tcW w:w="1417"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center"/>
              <w:rPr>
                <w:rFonts w:eastAsia="Times New Roman" w:cs="Times New Roman"/>
                <w:sz w:val="16"/>
                <w:szCs w:val="20"/>
                <w:lang w:bidi="ar-SA"/>
              </w:rPr>
            </w:pPr>
            <w:r>
              <w:rPr>
                <w:rFonts w:eastAsia="Times New Roman" w:cs="Times New Roman"/>
                <w:sz w:val="16"/>
                <w:szCs w:val="20"/>
                <w:lang w:bidi="ar-SA"/>
              </w:rPr>
              <w:t>2027-2038</w:t>
            </w:r>
          </w:p>
        </w:tc>
        <w:tc>
          <w:tcPr>
            <w:tcW w:w="1701"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22 500 000</w:t>
            </w:r>
          </w:p>
        </w:tc>
        <w:tc>
          <w:tcPr>
            <w:tcW w:w="184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w:t>
            </w:r>
          </w:p>
        </w:tc>
        <w:tc>
          <w:tcPr>
            <w:tcW w:w="1701"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22 500 000</w:t>
            </w:r>
          </w:p>
        </w:tc>
      </w:tr>
      <w:tr>
        <w:tblPrEx>
          <w:tblW w:w="0" w:type="auto"/>
          <w:tblInd w:w="56" w:type="dxa"/>
          <w:tblLayout w:type="fixed"/>
          <w:tblCellMar>
            <w:left w:w="70" w:type="dxa"/>
            <w:right w:w="70" w:type="dxa"/>
          </w:tblCellMar>
          <w:tblLook w:val="04A0"/>
        </w:tblPrEx>
        <w:trPr>
          <w:trHeight w:val="227"/>
        </w:trPr>
        <w:tc>
          <w:tcPr>
            <w:tcW w:w="5401" w:type="dxa"/>
            <w:tcBorders>
              <w:top w:val="single" w:sz="4" w:space="0" w:color="auto"/>
              <w:left w:val="single" w:sz="4" w:space="0" w:color="auto"/>
              <w:bottom w:val="single" w:sz="4" w:space="0" w:color="auto"/>
              <w:right w:val="single" w:sz="4" w:space="0" w:color="auto"/>
            </w:tcBorders>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rPr>
                <w:rFonts w:eastAsia="Times New Roman" w:cs="Times New Roman"/>
                <w:sz w:val="16"/>
                <w:szCs w:val="20"/>
                <w:lang w:bidi="ar-SA"/>
              </w:rPr>
            </w:pPr>
            <w:r>
              <w:rPr>
                <w:rFonts w:eastAsia="Times New Roman" w:cs="Times New Roman"/>
                <w:sz w:val="16"/>
                <w:szCs w:val="20"/>
                <w:lang w:bidi="ar-SA"/>
              </w:rPr>
              <w:t>Pożyczka z WFOŚiGW – KAWKA</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center"/>
              <w:rPr>
                <w:rFonts w:eastAsia="Times New Roman" w:cs="Times New Roman"/>
                <w:sz w:val="16"/>
                <w:szCs w:val="20"/>
                <w:lang w:bidi="ar-SA"/>
              </w:rPr>
            </w:pPr>
            <w:r>
              <w:rPr>
                <w:rFonts w:eastAsia="Times New Roman" w:cs="Times New Roman"/>
                <w:sz w:val="16"/>
                <w:szCs w:val="20"/>
                <w:lang w:bidi="ar-SA"/>
              </w:rPr>
              <w:t>2016-2018</w:t>
            </w:r>
          </w:p>
        </w:tc>
        <w:tc>
          <w:tcPr>
            <w:tcW w:w="1417"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center"/>
              <w:rPr>
                <w:rFonts w:eastAsia="Times New Roman" w:cs="Times New Roman"/>
                <w:sz w:val="16"/>
                <w:szCs w:val="20"/>
                <w:lang w:bidi="ar-SA"/>
              </w:rPr>
            </w:pPr>
            <w:r>
              <w:rPr>
                <w:rFonts w:eastAsia="Times New Roman" w:cs="Times New Roman"/>
                <w:sz w:val="16"/>
                <w:szCs w:val="20"/>
                <w:lang w:bidi="ar-SA"/>
              </w:rPr>
              <w:t>2019-2030</w:t>
            </w:r>
          </w:p>
        </w:tc>
        <w:tc>
          <w:tcPr>
            <w:tcW w:w="1701"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201 212</w:t>
            </w:r>
          </w:p>
        </w:tc>
        <w:tc>
          <w:tcPr>
            <w:tcW w:w="184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47 344</w:t>
            </w:r>
          </w:p>
        </w:tc>
        <w:tc>
          <w:tcPr>
            <w:tcW w:w="1701"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153 868</w:t>
            </w:r>
          </w:p>
        </w:tc>
      </w:tr>
      <w:tr>
        <w:tblPrEx>
          <w:tblW w:w="0" w:type="auto"/>
          <w:tblInd w:w="56" w:type="dxa"/>
          <w:tblLayout w:type="fixed"/>
          <w:tblCellMar>
            <w:left w:w="70" w:type="dxa"/>
            <w:right w:w="70" w:type="dxa"/>
          </w:tblCellMar>
          <w:tblLook w:val="04A0"/>
        </w:tblPrEx>
        <w:trPr>
          <w:trHeight w:val="227"/>
        </w:trPr>
        <w:tc>
          <w:tcPr>
            <w:tcW w:w="5401" w:type="dxa"/>
            <w:tcBorders>
              <w:top w:val="single" w:sz="4" w:space="0" w:color="auto"/>
              <w:left w:val="single" w:sz="4" w:space="0" w:color="auto"/>
              <w:bottom w:val="single" w:sz="4" w:space="0" w:color="auto"/>
              <w:right w:val="single" w:sz="4" w:space="0" w:color="auto"/>
            </w:tcBorders>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rPr>
                <w:rFonts w:eastAsia="Times New Roman" w:cs="Times New Roman"/>
                <w:sz w:val="16"/>
                <w:szCs w:val="20"/>
                <w:lang w:bidi="ar-SA"/>
              </w:rPr>
            </w:pPr>
            <w:r>
              <w:rPr>
                <w:rFonts w:eastAsia="Times New Roman" w:cs="Times New Roman"/>
                <w:sz w:val="16"/>
                <w:szCs w:val="20"/>
                <w:lang w:bidi="ar-SA"/>
              </w:rPr>
              <w:t>Pożyczka z WFOŚiGW – Program Ograniczenia Niskiej Emisji 2019 (PONE 2019)</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center"/>
              <w:rPr>
                <w:rFonts w:eastAsia="Times New Roman" w:cs="Times New Roman"/>
                <w:sz w:val="16"/>
                <w:szCs w:val="20"/>
                <w:lang w:bidi="ar-SA"/>
              </w:rPr>
            </w:pPr>
            <w:r>
              <w:rPr>
                <w:rFonts w:eastAsia="Times New Roman" w:cs="Times New Roman"/>
                <w:sz w:val="16"/>
                <w:szCs w:val="20"/>
                <w:lang w:bidi="ar-SA"/>
              </w:rPr>
              <w:t>2019-2020</w:t>
            </w:r>
          </w:p>
        </w:tc>
        <w:tc>
          <w:tcPr>
            <w:tcW w:w="1417"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center"/>
              <w:rPr>
                <w:rFonts w:eastAsia="Times New Roman" w:cs="Times New Roman"/>
                <w:sz w:val="16"/>
                <w:szCs w:val="20"/>
                <w:lang w:bidi="ar-SA"/>
              </w:rPr>
            </w:pPr>
            <w:r>
              <w:rPr>
                <w:rFonts w:eastAsia="Times New Roman" w:cs="Times New Roman"/>
                <w:sz w:val="16"/>
                <w:szCs w:val="20"/>
                <w:lang w:bidi="ar-SA"/>
              </w:rPr>
              <w:t>2021-2026</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33 211</w:t>
            </w:r>
          </w:p>
        </w:tc>
        <w:tc>
          <w:tcPr>
            <w:tcW w:w="184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33 211</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w:t>
            </w:r>
          </w:p>
        </w:tc>
      </w:tr>
      <w:tr>
        <w:tblPrEx>
          <w:tblW w:w="0" w:type="auto"/>
          <w:tblInd w:w="56" w:type="dxa"/>
          <w:tblLayout w:type="fixed"/>
          <w:tblCellMar>
            <w:left w:w="70" w:type="dxa"/>
            <w:right w:w="70" w:type="dxa"/>
          </w:tblCellMar>
          <w:tblLook w:val="04A0"/>
        </w:tblPrEx>
        <w:trPr>
          <w:trHeight w:val="227"/>
        </w:trPr>
        <w:tc>
          <w:tcPr>
            <w:tcW w:w="5401" w:type="dxa"/>
            <w:tcBorders>
              <w:top w:val="single" w:sz="4" w:space="0" w:color="auto"/>
              <w:left w:val="single" w:sz="4" w:space="0" w:color="auto"/>
              <w:bottom w:val="single" w:sz="4" w:space="0" w:color="auto"/>
              <w:right w:val="single" w:sz="4" w:space="0" w:color="auto"/>
            </w:tcBorders>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rPr>
                <w:rFonts w:eastAsia="Times New Roman" w:cs="Times New Roman"/>
                <w:sz w:val="16"/>
                <w:szCs w:val="20"/>
                <w:lang w:bidi="ar-SA"/>
              </w:rPr>
            </w:pPr>
            <w:r>
              <w:rPr>
                <w:rFonts w:eastAsia="Times New Roman" w:cs="Times New Roman"/>
                <w:sz w:val="16"/>
                <w:szCs w:val="20"/>
                <w:lang w:bidi="ar-SA"/>
              </w:rPr>
              <w:t>Pożyczka z WFOŚiGW – Program Ograniczenia Niskiej Emisji 2021 (PONE 2021)</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center"/>
              <w:rPr>
                <w:rFonts w:eastAsia="Times New Roman" w:cs="Times New Roman"/>
                <w:sz w:val="16"/>
                <w:szCs w:val="20"/>
                <w:lang w:bidi="ar-SA"/>
              </w:rPr>
            </w:pPr>
            <w:r>
              <w:rPr>
                <w:rFonts w:eastAsia="Times New Roman" w:cs="Times New Roman"/>
                <w:sz w:val="16"/>
                <w:szCs w:val="20"/>
                <w:lang w:bidi="ar-SA"/>
              </w:rPr>
              <w:t>2021</w:t>
            </w:r>
          </w:p>
        </w:tc>
        <w:tc>
          <w:tcPr>
            <w:tcW w:w="1417"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center"/>
              <w:rPr>
                <w:rFonts w:eastAsia="Times New Roman" w:cs="Times New Roman"/>
                <w:sz w:val="16"/>
                <w:szCs w:val="20"/>
                <w:lang w:bidi="ar-SA"/>
              </w:rPr>
            </w:pPr>
            <w:r>
              <w:rPr>
                <w:rFonts w:eastAsia="Times New Roman" w:cs="Times New Roman"/>
                <w:sz w:val="16"/>
                <w:szCs w:val="20"/>
                <w:lang w:bidi="ar-SA"/>
              </w:rPr>
              <w:t>2022-2027</w:t>
            </w:r>
          </w:p>
        </w:tc>
        <w:tc>
          <w:tcPr>
            <w:tcW w:w="1701"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508 870</w:t>
            </w:r>
          </w:p>
        </w:tc>
        <w:tc>
          <w:tcPr>
            <w:tcW w:w="184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290 784</w:t>
            </w:r>
          </w:p>
        </w:tc>
        <w:tc>
          <w:tcPr>
            <w:tcW w:w="1701"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218 086</w:t>
            </w:r>
          </w:p>
        </w:tc>
      </w:tr>
      <w:tr>
        <w:tblPrEx>
          <w:tblW w:w="0" w:type="auto"/>
          <w:tblInd w:w="56" w:type="dxa"/>
          <w:tblLayout w:type="fixed"/>
          <w:tblCellMar>
            <w:left w:w="70" w:type="dxa"/>
            <w:right w:w="70" w:type="dxa"/>
          </w:tblCellMar>
          <w:tblLook w:val="04A0"/>
        </w:tblPrEx>
        <w:trPr>
          <w:trHeight w:val="227"/>
        </w:trPr>
        <w:tc>
          <w:tcPr>
            <w:tcW w:w="5401" w:type="dxa"/>
            <w:tcBorders>
              <w:top w:val="single" w:sz="4" w:space="0" w:color="auto"/>
              <w:left w:val="single" w:sz="4" w:space="0" w:color="auto"/>
              <w:bottom w:val="single" w:sz="4" w:space="0" w:color="auto"/>
              <w:right w:val="single" w:sz="4" w:space="0" w:color="auto"/>
            </w:tcBorders>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rPr>
                <w:rFonts w:eastAsia="Times New Roman" w:cs="Times New Roman"/>
                <w:sz w:val="16"/>
                <w:szCs w:val="20"/>
                <w:lang w:bidi="ar-SA"/>
              </w:rPr>
            </w:pPr>
            <w:r>
              <w:rPr>
                <w:rFonts w:eastAsia="Times New Roman" w:cs="Times New Roman"/>
                <w:sz w:val="16"/>
                <w:szCs w:val="20"/>
                <w:lang w:bidi="ar-SA"/>
              </w:rPr>
              <w:t>Pożyczka z WFOŚiGW – Program Ograniczenia Niskiej Emisji 2021 (PONE 2022)</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center"/>
              <w:rPr>
                <w:rFonts w:eastAsia="Times New Roman" w:cs="Times New Roman"/>
                <w:sz w:val="16"/>
                <w:szCs w:val="20"/>
                <w:lang w:bidi="ar-SA"/>
              </w:rPr>
            </w:pPr>
            <w:r>
              <w:rPr>
                <w:rFonts w:eastAsia="Times New Roman" w:cs="Times New Roman"/>
                <w:sz w:val="16"/>
                <w:szCs w:val="20"/>
                <w:lang w:bidi="ar-SA"/>
              </w:rPr>
              <w:t>2022</w:t>
            </w:r>
          </w:p>
        </w:tc>
        <w:tc>
          <w:tcPr>
            <w:tcW w:w="1417"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center"/>
              <w:rPr>
                <w:rFonts w:eastAsia="Times New Roman" w:cs="Times New Roman"/>
                <w:sz w:val="16"/>
                <w:szCs w:val="20"/>
                <w:lang w:bidi="ar-SA"/>
              </w:rPr>
            </w:pPr>
            <w:r>
              <w:rPr>
                <w:rFonts w:eastAsia="Times New Roman" w:cs="Times New Roman"/>
                <w:sz w:val="16"/>
                <w:szCs w:val="20"/>
                <w:lang w:bidi="ar-SA"/>
              </w:rPr>
              <w:t>2023-2029</w:t>
            </w:r>
          </w:p>
        </w:tc>
        <w:tc>
          <w:tcPr>
            <w:tcW w:w="1701"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884 561</w:t>
            </w:r>
          </w:p>
        </w:tc>
        <w:tc>
          <w:tcPr>
            <w:tcW w:w="184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208 132</w:t>
            </w:r>
          </w:p>
        </w:tc>
        <w:tc>
          <w:tcPr>
            <w:tcW w:w="1701"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676 429</w:t>
            </w:r>
          </w:p>
        </w:tc>
      </w:tr>
      <w:tr>
        <w:tblPrEx>
          <w:tblW w:w="0" w:type="auto"/>
          <w:tblInd w:w="56" w:type="dxa"/>
          <w:tblLayout w:type="fixed"/>
          <w:tblCellMar>
            <w:left w:w="70" w:type="dxa"/>
            <w:right w:w="70" w:type="dxa"/>
          </w:tblCellMar>
          <w:tblLook w:val="04A0"/>
        </w:tblPrEx>
        <w:trPr>
          <w:trHeight w:val="227"/>
        </w:trPr>
        <w:tc>
          <w:tcPr>
            <w:tcW w:w="5401" w:type="dxa"/>
            <w:tcBorders>
              <w:top w:val="single" w:sz="4" w:space="0" w:color="auto"/>
              <w:left w:val="single" w:sz="4" w:space="0" w:color="auto"/>
              <w:bottom w:val="single" w:sz="4" w:space="0" w:color="auto"/>
              <w:right w:val="single" w:sz="4" w:space="0" w:color="auto"/>
            </w:tcBorders>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rPr>
                <w:rFonts w:eastAsia="Times New Roman" w:cs="Times New Roman"/>
                <w:sz w:val="16"/>
                <w:szCs w:val="20"/>
                <w:lang w:bidi="ar-SA"/>
              </w:rPr>
            </w:pPr>
            <w:r>
              <w:rPr>
                <w:rFonts w:eastAsia="Times New Roman" w:cs="Times New Roman"/>
                <w:sz w:val="16"/>
                <w:szCs w:val="20"/>
                <w:lang w:bidi="ar-SA"/>
              </w:rPr>
              <w:t>Pożyczka na sfinansowanie deficytu w 2025 r. i spłatę wcześniej zaciągniętych zobowiązań – 60 mln (BGK)</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center"/>
              <w:rPr>
                <w:rFonts w:eastAsia="Times New Roman" w:cs="Times New Roman"/>
                <w:sz w:val="16"/>
                <w:szCs w:val="20"/>
                <w:lang w:bidi="ar-SA"/>
              </w:rPr>
            </w:pPr>
            <w:r>
              <w:rPr>
                <w:rFonts w:eastAsia="Times New Roman" w:cs="Times New Roman"/>
                <w:sz w:val="16"/>
                <w:szCs w:val="20"/>
                <w:lang w:bidi="ar-SA"/>
              </w:rPr>
              <w:t>2025</w:t>
            </w:r>
          </w:p>
        </w:tc>
        <w:tc>
          <w:tcPr>
            <w:tcW w:w="1417"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center"/>
              <w:rPr>
                <w:rFonts w:eastAsia="Times New Roman" w:cs="Times New Roman"/>
                <w:sz w:val="16"/>
                <w:szCs w:val="20"/>
                <w:lang w:bidi="ar-SA"/>
              </w:rPr>
            </w:pPr>
            <w:r>
              <w:rPr>
                <w:rFonts w:eastAsia="Times New Roman" w:cs="Times New Roman"/>
                <w:sz w:val="16"/>
                <w:szCs w:val="20"/>
                <w:lang w:bidi="ar-SA"/>
              </w:rPr>
              <w:t>2027-2042</w:t>
            </w:r>
          </w:p>
        </w:tc>
        <w:tc>
          <w:tcPr>
            <w:tcW w:w="1701"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60 000 000</w:t>
            </w:r>
          </w:p>
        </w:tc>
        <w:tc>
          <w:tcPr>
            <w:tcW w:w="184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w:t>
            </w:r>
          </w:p>
        </w:tc>
        <w:tc>
          <w:tcPr>
            <w:tcW w:w="1701"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60 000 000</w:t>
            </w:r>
          </w:p>
        </w:tc>
      </w:tr>
      <w:tr>
        <w:tblPrEx>
          <w:tblW w:w="0" w:type="auto"/>
          <w:tblInd w:w="56" w:type="dxa"/>
          <w:tblLayout w:type="fixed"/>
          <w:tblCellMar>
            <w:left w:w="70" w:type="dxa"/>
            <w:right w:w="70" w:type="dxa"/>
          </w:tblCellMar>
          <w:tblLook w:val="04A0"/>
        </w:tblPrEx>
        <w:trPr>
          <w:trHeight w:val="227"/>
        </w:trPr>
        <w:tc>
          <w:tcPr>
            <w:tcW w:w="5401" w:type="dxa"/>
            <w:tcBorders>
              <w:top w:val="single" w:sz="4" w:space="0" w:color="auto"/>
              <w:left w:val="single" w:sz="4" w:space="0" w:color="auto"/>
              <w:bottom w:val="single" w:sz="4" w:space="0" w:color="auto"/>
              <w:right w:val="single" w:sz="4" w:space="0" w:color="auto"/>
            </w:tcBorders>
            <w:shd w:val="clear" w:color="000000" w:fill="FFFFFF"/>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rPr>
                <w:rFonts w:eastAsia="Times New Roman" w:cs="Times New Roman"/>
                <w:sz w:val="16"/>
                <w:szCs w:val="20"/>
                <w:lang w:bidi="ar-SA"/>
              </w:rPr>
            </w:pPr>
            <w:r>
              <w:rPr>
                <w:rFonts w:eastAsia="Times New Roman" w:cs="Times New Roman"/>
                <w:sz w:val="16"/>
                <w:szCs w:val="20"/>
                <w:lang w:bidi="ar-SA"/>
              </w:rPr>
              <w:t xml:space="preserve">Pożyczka na sfinansowanie deficytu w 2025 r. i spłatę wcześniej zaciągniętych zobowiązań – 100 mln </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center"/>
              <w:rPr>
                <w:rFonts w:eastAsia="Times New Roman" w:cs="Times New Roman"/>
                <w:sz w:val="16"/>
                <w:szCs w:val="20"/>
                <w:lang w:bidi="ar-SA"/>
              </w:rPr>
            </w:pPr>
            <w:r>
              <w:rPr>
                <w:rFonts w:eastAsia="Times New Roman" w:cs="Times New Roman"/>
                <w:sz w:val="16"/>
                <w:szCs w:val="20"/>
                <w:lang w:bidi="ar-SA"/>
              </w:rPr>
              <w:t>2026</w:t>
            </w:r>
          </w:p>
        </w:tc>
        <w:tc>
          <w:tcPr>
            <w:tcW w:w="141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center"/>
              <w:rPr>
                <w:rFonts w:eastAsia="Times New Roman" w:cs="Times New Roman"/>
                <w:sz w:val="16"/>
                <w:szCs w:val="20"/>
                <w:lang w:bidi="ar-SA"/>
              </w:rPr>
            </w:pPr>
            <w:r>
              <w:rPr>
                <w:rFonts w:eastAsia="Times New Roman" w:cs="Times New Roman"/>
                <w:sz w:val="16"/>
                <w:szCs w:val="20"/>
                <w:lang w:bidi="ar-SA"/>
              </w:rPr>
              <w:t>2027-2046</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w:t>
            </w:r>
          </w:p>
        </w:tc>
        <w:tc>
          <w:tcPr>
            <w:tcW w:w="184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100 000 000</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100 000 000</w:t>
            </w:r>
          </w:p>
        </w:tc>
      </w:tr>
      <w:tr>
        <w:tblPrEx>
          <w:tblW w:w="0" w:type="auto"/>
          <w:tblInd w:w="56" w:type="dxa"/>
          <w:tblLayout w:type="fixed"/>
          <w:tblCellMar>
            <w:left w:w="70" w:type="dxa"/>
            <w:right w:w="70" w:type="dxa"/>
          </w:tblCellMar>
          <w:tblLook w:val="04A0"/>
        </w:tblPrEx>
        <w:trPr>
          <w:trHeight w:val="227"/>
        </w:trPr>
        <w:tc>
          <w:tcPr>
            <w:tcW w:w="8094" w:type="dxa"/>
            <w:gridSpan w:val="3"/>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center"/>
              <w:rPr>
                <w:rFonts w:eastAsia="Times New Roman" w:cs="Times New Roman"/>
                <w:sz w:val="16"/>
                <w:szCs w:val="20"/>
                <w:lang w:bidi="ar-SA"/>
              </w:rPr>
            </w:pPr>
            <w:r>
              <w:rPr>
                <w:rFonts w:eastAsia="Times New Roman" w:cs="Times New Roman"/>
                <w:sz w:val="16"/>
                <w:szCs w:val="20"/>
                <w:lang w:bidi="ar-SA"/>
              </w:rPr>
              <w:t>RAZEM</w:t>
            </w:r>
          </w:p>
        </w:tc>
        <w:tc>
          <w:tcPr>
            <w:tcW w:w="1701"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454 249 946</w:t>
            </w:r>
          </w:p>
        </w:tc>
        <w:tc>
          <w:tcPr>
            <w:tcW w:w="184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100 000 000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33 236 448</w:t>
            </w:r>
          </w:p>
        </w:tc>
        <w:tc>
          <w:tcPr>
            <w:tcW w:w="1701" w:type="dxa"/>
            <w:tcBorders>
              <w:top w:val="single" w:sz="4" w:space="0" w:color="auto"/>
              <w:left w:val="single" w:sz="4" w:space="0" w:color="auto"/>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113" w:firstLine="0"/>
              <w:contextualSpacing w:val="0"/>
              <w:jc w:val="right"/>
              <w:rPr>
                <w:rFonts w:eastAsia="Times New Roman" w:cs="Times New Roman"/>
                <w:sz w:val="16"/>
                <w:szCs w:val="20"/>
                <w:lang w:bidi="ar-SA"/>
              </w:rPr>
            </w:pPr>
            <w:r>
              <w:rPr>
                <w:rFonts w:eastAsia="Times New Roman" w:cs="Times New Roman"/>
                <w:sz w:val="16"/>
                <w:szCs w:val="20"/>
                <w:lang w:bidi="ar-SA"/>
              </w:rPr>
              <w:t>521 013 498</w:t>
            </w:r>
          </w:p>
        </w:tc>
      </w:tr>
    </w:tbl>
    <w:p>
      <w:pPr>
        <w:keepNext w:val="0"/>
        <w:keepLines w:val="0"/>
        <w:widowControl/>
        <w:suppressLineNumbers w:val="0"/>
        <w:shd w:val="clear" w:color="auto" w:fill="auto"/>
        <w:suppressAutoHyphens w:val="0"/>
        <w:spacing w:before="240" w:beforeAutospacing="0" w:after="240" w:afterAutospacing="0" w:line="240" w:lineRule="auto"/>
        <w:ind w:left="0" w:right="0" w:firstLine="0"/>
        <w:contextualSpacing w:val="0"/>
        <w:jc w:val="both"/>
        <w:rPr>
          <w:rFonts w:eastAsia="Times New Roman" w:cs="Times New Roman"/>
          <w:b/>
          <w:szCs w:val="20"/>
          <w:lang w:bidi="ar-SA"/>
        </w:rPr>
      </w:pPr>
      <w:r>
        <w:rPr>
          <w:rFonts w:eastAsia="Times New Roman" w:cs="Times New Roman"/>
          <w:b/>
          <w:szCs w:val="20"/>
          <w:lang w:bidi="ar-SA"/>
        </w:rPr>
        <w:t>7. Relacja zrównoważenia wydatków bieżących, o której mowa w art. 242 ustawy o finansach publicznych</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 xml:space="preserve">W roku 2026 planuje się deficyt operacyjny w kwocie 50 935 582 zł. </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 xml:space="preserve">Zgodnie z art. 242 ust. 1 ustawy o finansach publicznych organ stanowiący jst nie może uchwalić budżetu, w którym planowane wydatki bieżące są wyższe niż planowane dochody bieżące powiększone o przychody, o których mowa w art. 217 ust. 2 pkt 5, 7 i 8. </w:t>
      </w:r>
    </w:p>
    <w:p>
      <w:pPr>
        <w:keepNext w:val="0"/>
        <w:keepLines w:val="0"/>
        <w:widowControl/>
        <w:suppressLineNumbers w:val="0"/>
        <w:shd w:val="clear" w:color="auto" w:fill="auto"/>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 xml:space="preserve">Jednakże podjęte w latach 2021-2024 zmiany w obowiązujących przepisach ustawy o finansach publicznych wskazują, że: </w:t>
      </w:r>
    </w:p>
    <w:p>
      <w:pPr>
        <w:keepNext w:val="0"/>
        <w:keepLines w:val="0"/>
        <w:widowControl/>
        <w:numPr>
          <w:ilvl w:val="0"/>
          <w:numId w:val="17"/>
        </w:numPr>
        <w:suppressLineNumbers w:val="0"/>
        <w:shd w:val="clear" w:color="auto" w:fill="auto"/>
        <w:suppressAutoHyphens w:val="0"/>
        <w:spacing w:before="0" w:beforeAutospacing="0" w:after="120" w:afterAutospacing="0" w:line="240" w:lineRule="auto"/>
        <w:ind w:left="340" w:right="0" w:hanging="340"/>
        <w:contextualSpacing w:val="0"/>
        <w:jc w:val="both"/>
        <w:rPr>
          <w:rFonts w:eastAsia="Times New Roman" w:cs="Times New Roman"/>
          <w:i/>
          <w:szCs w:val="20"/>
          <w:lang w:bidi="ar-SA"/>
        </w:rPr>
      </w:pPr>
      <w:r>
        <w:rPr>
          <w:rFonts w:eastAsia="Times New Roman" w:cs="Times New Roman"/>
          <w:szCs w:val="20"/>
          <w:lang w:bidi="ar-SA"/>
        </w:rPr>
        <w:t>w roku 2022 do ustalenia relacji, o której mowa w art. 242 ust. 1 i 2 ustawy dochody bieżące jednostki samorządu terytorialnego mogą być powiększone także o przychody, o których mowa w art. 217 ust. 2 pkt 6 uofp a w latach 2022-2025 jednostka samorządu terytorialnego może w danym roku budżetowym przekroczyć relację, o której mowa w art. 242 ust. 1 i 2 ustawy, pod warunkiem że w latach 2022–2025 suma przekroczeń tej relacji w poszczególnych latach nie będzie wyższa od sumy nadwyżek wynikających z tej relacji w poszczególnych latach (art. 9 ustawy z dnia 14 października 2021 r. o zmianie ustawy o dochodach jednostek samorządu terytorialnego oraz niektórych innych ustaw),</w:t>
      </w:r>
    </w:p>
    <w:p>
      <w:pPr>
        <w:keepNext w:val="0"/>
        <w:keepLines w:val="0"/>
        <w:widowControl/>
        <w:numPr>
          <w:ilvl w:val="0"/>
          <w:numId w:val="17"/>
        </w:numPr>
        <w:suppressLineNumbers w:val="0"/>
        <w:shd w:val="clear" w:color="auto" w:fill="auto"/>
        <w:suppressAutoHyphens w:val="0"/>
        <w:spacing w:before="0" w:beforeAutospacing="0" w:after="120" w:afterAutospacing="0" w:line="240" w:lineRule="auto"/>
        <w:ind w:left="340" w:right="0" w:hanging="340"/>
        <w:contextualSpacing w:val="0"/>
        <w:jc w:val="both"/>
        <w:rPr>
          <w:rFonts w:eastAsia="Times New Roman" w:cs="Times New Roman"/>
          <w:i/>
          <w:szCs w:val="20"/>
          <w:lang w:bidi="ar-SA"/>
        </w:rPr>
      </w:pPr>
      <w:r>
        <w:rPr>
          <w:rFonts w:eastAsia="Times New Roman" w:cs="Times New Roman"/>
          <w:szCs w:val="20"/>
          <w:lang w:bidi="ar-SA"/>
        </w:rPr>
        <w:t>do ustalenia na lata 2023-2025 relacji, o której mowa w art. 242 ust. 1 i 2 ustawy dochody bieżące jednostki samorządu terytorialnego mogą być powiększone także o przychody, o których mowa w art. 217 ust. 2 pkt 6 ustawy (art. 6 ustawy z dnia 15 września 2022 r. o zmianie ustawy o dochodach jednostek samorządu terytorialnego oraz niektórych innych ustaw),</w:t>
      </w:r>
    </w:p>
    <w:p>
      <w:pPr>
        <w:keepNext w:val="0"/>
        <w:keepLines w:val="0"/>
        <w:widowControl/>
        <w:numPr>
          <w:ilvl w:val="0"/>
          <w:numId w:val="17"/>
        </w:numPr>
        <w:suppressLineNumbers w:val="0"/>
        <w:shd w:val="clear" w:color="auto" w:fill="auto"/>
        <w:suppressAutoHyphens w:val="0"/>
        <w:spacing w:before="0" w:beforeAutospacing="0" w:after="240" w:afterAutospacing="0" w:line="240" w:lineRule="auto"/>
        <w:ind w:left="340" w:right="0" w:hanging="340"/>
        <w:contextualSpacing w:val="0"/>
        <w:jc w:val="both"/>
        <w:rPr>
          <w:rFonts w:eastAsia="Times New Roman" w:cs="Times New Roman"/>
          <w:i/>
          <w:szCs w:val="20"/>
          <w:lang w:bidi="ar-SA"/>
        </w:rPr>
      </w:pPr>
      <w:r>
        <w:rPr>
          <w:rFonts w:eastAsia="Times New Roman" w:cs="Times New Roman"/>
          <w:szCs w:val="20"/>
          <w:lang w:bidi="ar-SA"/>
        </w:rPr>
        <w:t>do ustalenia na lata 2026-2029 ww. relacji dochody bieżące jst mogą być powiększone także o przychody, o których mowa w art. 217 ust. 2 pkt 6, a w latach 2024-2029 jst może w danym roku budżetowym przekroczyć relację, o której mowa w art. 242 ust. 1 i 2, jeżeli w latach 2022-2029 suma przekroczeń tej relacji w poszczególnych latach nie będzie wyższa od sumy nadwyżek wynikających z tej relacji w poszczególnych latach (art. 296a ustawy o finansach publicznych).</w:t>
      </w:r>
    </w:p>
    <w:p>
      <w:pPr>
        <w:keepNext w:val="0"/>
        <w:keepLines w:val="0"/>
        <w:widowControl/>
        <w:suppressLineNumbers w:val="0"/>
        <w:shd w:val="clear" w:color="auto" w:fill="auto"/>
        <w:suppressAutoHyphens w:val="0"/>
        <w:spacing w:before="0" w:beforeAutospacing="0" w:after="240" w:afterAutospacing="0" w:line="240" w:lineRule="auto"/>
        <w:ind w:left="357" w:right="0" w:firstLine="0"/>
        <w:contextualSpacing w:val="0"/>
        <w:jc w:val="both"/>
        <w:rPr>
          <w:rFonts w:eastAsia="Times New Roman" w:cs="Times New Roman"/>
          <w:szCs w:val="20"/>
          <w:lang w:bidi="ar-SA"/>
        </w:rPr>
      </w:pPr>
      <w:r>
        <w:rPr>
          <w:rFonts w:eastAsia="Times New Roman" w:cs="Times New Roman"/>
          <w:szCs w:val="20"/>
          <w:lang w:bidi="ar-SA"/>
        </w:rPr>
        <w:t>W związku z powyższym wyniki operacyjne w latach 2022-2026 prezentują się następująco:</w:t>
      </w:r>
    </w:p>
    <w:tbl>
      <w:tblPr>
        <w:tblStyle w:val="TableNormal"/>
        <w:tblW w:w="143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70" w:type="dxa"/>
          <w:right w:w="70" w:type="dxa"/>
        </w:tblCellMar>
        <w:tblLook w:val="04A0"/>
      </w:tblPr>
      <w:tblGrid>
        <w:gridCol w:w="4028"/>
        <w:gridCol w:w="1400"/>
        <w:gridCol w:w="1768"/>
        <w:gridCol w:w="1768"/>
        <w:gridCol w:w="1768"/>
        <w:gridCol w:w="2031"/>
        <w:gridCol w:w="1566"/>
      </w:tblGrid>
      <w:tr>
        <w:tblPrEx>
          <w:tblW w:w="143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70" w:type="dxa"/>
            <w:right w:w="70" w:type="dxa"/>
          </w:tblCellMar>
          <w:tblLook w:val="04A0"/>
        </w:tblPrEx>
        <w:trPr>
          <w:trHeight w:val="283"/>
          <w:jc w:val="center"/>
        </w:trPr>
        <w:tc>
          <w:tcPr>
            <w:tcW w:w="5564" w:type="dxa"/>
            <w:gridSpan w:val="2"/>
            <w:shd w:val="clear" w:color="auto" w:fill="FFFFFF"/>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i/>
                <w:sz w:val="20"/>
                <w:szCs w:val="20"/>
                <w:lang w:bidi="ar-SA"/>
              </w:rPr>
            </w:pPr>
            <w:r>
              <w:rPr>
                <w:rFonts w:eastAsia="Times New Roman" w:cs="Times New Roman"/>
                <w:sz w:val="20"/>
                <w:szCs w:val="20"/>
                <w:lang w:bidi="ar-SA"/>
              </w:rPr>
              <w:t>Relacja zrównoważenia wydatków bieżących, o której mowa w art. 242 ustawy o finansach publicznych</w:t>
            </w:r>
          </w:p>
        </w:tc>
        <w:tc>
          <w:tcPr>
            <w:tcW w:w="1756" w:type="dxa"/>
            <w:shd w:val="clear" w:color="auto" w:fill="FFFFFF"/>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2022</w:t>
            </w:r>
          </w:p>
        </w:tc>
        <w:tc>
          <w:tcPr>
            <w:tcW w:w="1756" w:type="dxa"/>
            <w:shd w:val="clear" w:color="auto" w:fill="FFFFFF"/>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2023</w:t>
            </w:r>
          </w:p>
        </w:tc>
        <w:tc>
          <w:tcPr>
            <w:tcW w:w="1756" w:type="dxa"/>
            <w:shd w:val="clear" w:color="auto" w:fill="FFFFFF"/>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2024</w:t>
            </w:r>
          </w:p>
        </w:tc>
        <w:tc>
          <w:tcPr>
            <w:tcW w:w="1986" w:type="dxa"/>
            <w:shd w:val="clear" w:color="auto" w:fill="FFFFFF"/>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2025 wg planu na 30.09.2025</w:t>
            </w:r>
          </w:p>
        </w:tc>
        <w:tc>
          <w:tcPr>
            <w:tcW w:w="1532" w:type="dxa"/>
            <w:shd w:val="clear" w:color="auto" w:fill="FFFFFF"/>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2026</w:t>
            </w:r>
          </w:p>
        </w:tc>
      </w:tr>
      <w:tr>
        <w:tblPrEx>
          <w:tblW w:w="14350" w:type="dxa"/>
          <w:jc w:val="center"/>
          <w:shd w:val="clear" w:color="auto" w:fill="FFFFFF"/>
          <w:tblCellMar>
            <w:left w:w="70" w:type="dxa"/>
            <w:right w:w="70" w:type="dxa"/>
          </w:tblCellMar>
          <w:tblLook w:val="04A0"/>
        </w:tblPrEx>
        <w:trPr>
          <w:trHeight w:val="227"/>
          <w:jc w:val="center"/>
        </w:trPr>
        <w:tc>
          <w:tcPr>
            <w:tcW w:w="5564" w:type="dxa"/>
            <w:gridSpan w:val="2"/>
            <w:shd w:val="clear" w:color="auto" w:fill="FFFFFF"/>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Wynik operacyjny</w:t>
            </w:r>
          </w:p>
        </w:tc>
        <w:tc>
          <w:tcPr>
            <w:tcW w:w="1756" w:type="dxa"/>
            <w:shd w:val="clear" w:color="auto" w:fill="FFFFFF"/>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-11 230 033</w:t>
            </w:r>
          </w:p>
        </w:tc>
        <w:tc>
          <w:tcPr>
            <w:tcW w:w="1756" w:type="dxa"/>
            <w:shd w:val="clear" w:color="auto" w:fill="FFFFFF"/>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-32 442 518</w:t>
            </w:r>
          </w:p>
        </w:tc>
        <w:tc>
          <w:tcPr>
            <w:tcW w:w="1756" w:type="dxa"/>
            <w:shd w:val="clear" w:color="auto" w:fill="FFFFFF"/>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 xml:space="preserve">-9 960 419 </w:t>
            </w:r>
          </w:p>
        </w:tc>
        <w:tc>
          <w:tcPr>
            <w:tcW w:w="1986" w:type="dxa"/>
            <w:shd w:val="clear" w:color="auto" w:fill="FFFFFF"/>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4 665 558</w:t>
            </w:r>
          </w:p>
        </w:tc>
        <w:tc>
          <w:tcPr>
            <w:tcW w:w="1532" w:type="dxa"/>
            <w:shd w:val="clear" w:color="auto" w:fill="FFFFFF"/>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-50 935 582</w:t>
            </w:r>
          </w:p>
        </w:tc>
      </w:tr>
      <w:tr>
        <w:tblPrEx>
          <w:tblW w:w="14350" w:type="dxa"/>
          <w:jc w:val="center"/>
          <w:shd w:val="clear" w:color="auto" w:fill="FFFFFF"/>
          <w:tblCellMar>
            <w:left w:w="70" w:type="dxa"/>
            <w:right w:w="70" w:type="dxa"/>
          </w:tblCellMar>
          <w:tblLook w:val="04A0"/>
        </w:tblPrEx>
        <w:trPr>
          <w:trHeight w:val="227"/>
          <w:jc w:val="center"/>
        </w:trPr>
        <w:tc>
          <w:tcPr>
            <w:tcW w:w="5564" w:type="dxa"/>
            <w:gridSpan w:val="2"/>
            <w:shd w:val="clear" w:color="auto" w:fill="FFFFFF"/>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wolne środki – art. 217 ust 2 pkt 6 uofp</w:t>
            </w:r>
          </w:p>
        </w:tc>
        <w:tc>
          <w:tcPr>
            <w:tcW w:w="1756" w:type="dxa"/>
            <w:shd w:val="clear" w:color="auto" w:fill="FFFFFF"/>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57 610 576</w:t>
            </w:r>
          </w:p>
        </w:tc>
        <w:tc>
          <w:tcPr>
            <w:tcW w:w="1756" w:type="dxa"/>
            <w:shd w:val="clear" w:color="auto" w:fill="FFFFFF"/>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w:t>
            </w:r>
          </w:p>
        </w:tc>
        <w:tc>
          <w:tcPr>
            <w:tcW w:w="1756" w:type="dxa"/>
            <w:shd w:val="clear" w:color="auto" w:fill="FFFFFF"/>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w:t>
            </w:r>
          </w:p>
        </w:tc>
        <w:tc>
          <w:tcPr>
            <w:tcW w:w="1986" w:type="dxa"/>
            <w:shd w:val="clear" w:color="auto" w:fill="FFFFFF"/>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2 604 368</w:t>
            </w:r>
          </w:p>
        </w:tc>
        <w:tc>
          <w:tcPr>
            <w:tcW w:w="1532" w:type="dxa"/>
            <w:shd w:val="clear" w:color="auto" w:fill="FFFFFF"/>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w:t>
            </w:r>
          </w:p>
        </w:tc>
      </w:tr>
      <w:tr>
        <w:tblPrEx>
          <w:tblW w:w="14350" w:type="dxa"/>
          <w:jc w:val="center"/>
          <w:shd w:val="clear" w:color="auto" w:fill="FFFFFF"/>
          <w:tblCellMar>
            <w:left w:w="70" w:type="dxa"/>
            <w:right w:w="70" w:type="dxa"/>
          </w:tblCellMar>
          <w:tblLook w:val="04A0"/>
        </w:tblPrEx>
        <w:trPr>
          <w:trHeight w:val="227"/>
          <w:jc w:val="center"/>
        </w:trPr>
        <w:tc>
          <w:tcPr>
            <w:tcW w:w="4205" w:type="dxa"/>
            <w:vMerge w:val="restart"/>
            <w:shd w:val="clear" w:color="auto" w:fill="FFFFFF"/>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środki z art. 217 ust 2 pkt 8 uofp</w:t>
            </w:r>
          </w:p>
        </w:tc>
        <w:tc>
          <w:tcPr>
            <w:tcW w:w="1359" w:type="dxa"/>
            <w:shd w:val="clear" w:color="auto" w:fill="FFFFFF"/>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par 905</w:t>
            </w:r>
          </w:p>
        </w:tc>
        <w:tc>
          <w:tcPr>
            <w:tcW w:w="1756" w:type="dxa"/>
            <w:shd w:val="clear" w:color="auto" w:fill="FFFFFF"/>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33 882 968</w:t>
            </w:r>
          </w:p>
        </w:tc>
        <w:tc>
          <w:tcPr>
            <w:tcW w:w="1756" w:type="dxa"/>
            <w:shd w:val="clear" w:color="auto" w:fill="FFFFFF"/>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24 767 108</w:t>
            </w:r>
          </w:p>
        </w:tc>
        <w:tc>
          <w:tcPr>
            <w:tcW w:w="1756" w:type="dxa"/>
            <w:shd w:val="clear" w:color="auto" w:fill="FFFFFF"/>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18 294 109</w:t>
            </w:r>
          </w:p>
        </w:tc>
        <w:tc>
          <w:tcPr>
            <w:tcW w:w="1986" w:type="dxa"/>
            <w:shd w:val="clear" w:color="auto" w:fill="FFFFFF"/>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17 965 834</w:t>
            </w:r>
          </w:p>
        </w:tc>
        <w:tc>
          <w:tcPr>
            <w:tcW w:w="1532" w:type="dxa"/>
            <w:shd w:val="clear" w:color="auto" w:fill="FFFFFF"/>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11 539 483</w:t>
            </w:r>
          </w:p>
        </w:tc>
      </w:tr>
      <w:tr>
        <w:tblPrEx>
          <w:tblW w:w="14350" w:type="dxa"/>
          <w:jc w:val="center"/>
          <w:shd w:val="clear" w:color="auto" w:fill="FFFFFF"/>
          <w:tblCellMar>
            <w:left w:w="70" w:type="dxa"/>
            <w:right w:w="70" w:type="dxa"/>
          </w:tblCellMar>
          <w:tblLook w:val="04A0"/>
        </w:tblPrEx>
        <w:trPr>
          <w:trHeight w:val="227"/>
          <w:jc w:val="center"/>
        </w:trPr>
        <w:tc>
          <w:tcPr>
            <w:tcW w:w="4205" w:type="dxa"/>
            <w:vMerge/>
            <w:shd w:val="clear" w:color="auto" w:fill="FFFFFF"/>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p>
        </w:tc>
        <w:tc>
          <w:tcPr>
            <w:tcW w:w="1359" w:type="dxa"/>
            <w:shd w:val="clear" w:color="auto" w:fill="FFFFFF"/>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par 906</w:t>
            </w:r>
          </w:p>
        </w:tc>
        <w:tc>
          <w:tcPr>
            <w:tcW w:w="1756" w:type="dxa"/>
            <w:shd w:val="clear" w:color="auto" w:fill="FFFFFF"/>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4 141 670</w:t>
            </w:r>
          </w:p>
        </w:tc>
        <w:tc>
          <w:tcPr>
            <w:tcW w:w="1756" w:type="dxa"/>
            <w:shd w:val="clear" w:color="auto" w:fill="FFFFFF"/>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8 526 446</w:t>
            </w:r>
          </w:p>
        </w:tc>
        <w:tc>
          <w:tcPr>
            <w:tcW w:w="1756" w:type="dxa"/>
            <w:shd w:val="clear" w:color="auto" w:fill="FFFFFF"/>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649 456</w:t>
            </w:r>
          </w:p>
        </w:tc>
        <w:tc>
          <w:tcPr>
            <w:tcW w:w="1986" w:type="dxa"/>
            <w:shd w:val="clear" w:color="auto" w:fill="FFFFFF"/>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2 815 439</w:t>
            </w:r>
          </w:p>
        </w:tc>
        <w:tc>
          <w:tcPr>
            <w:tcW w:w="1532" w:type="dxa"/>
            <w:shd w:val="clear" w:color="auto" w:fill="FFFFFF"/>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4 956 096</w:t>
            </w:r>
          </w:p>
        </w:tc>
      </w:tr>
      <w:tr>
        <w:tblPrEx>
          <w:tblW w:w="14350" w:type="dxa"/>
          <w:jc w:val="center"/>
          <w:shd w:val="clear" w:color="auto" w:fill="FFFFFF"/>
          <w:tblCellMar>
            <w:left w:w="70" w:type="dxa"/>
            <w:right w:w="70" w:type="dxa"/>
          </w:tblCellMar>
          <w:tblLook w:val="04A0"/>
        </w:tblPrEx>
        <w:trPr>
          <w:trHeight w:val="227"/>
          <w:jc w:val="center"/>
        </w:trPr>
        <w:tc>
          <w:tcPr>
            <w:tcW w:w="5564" w:type="dxa"/>
            <w:gridSpan w:val="2"/>
            <w:shd w:val="clear" w:color="auto" w:fill="FFFFFF"/>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Różnica pomiędzy dochodami bieżącymi skorygowanymi o środki, a wydatkami bieżącymi </w:t>
            </w:r>
          </w:p>
        </w:tc>
        <w:tc>
          <w:tcPr>
            <w:tcW w:w="1756" w:type="dxa"/>
            <w:shd w:val="clear" w:color="auto" w:fill="FFFFFF"/>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84 405 181</w:t>
            </w:r>
          </w:p>
        </w:tc>
        <w:tc>
          <w:tcPr>
            <w:tcW w:w="1756" w:type="dxa"/>
            <w:shd w:val="clear" w:color="auto" w:fill="FFFFFF"/>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851 036</w:t>
            </w:r>
          </w:p>
        </w:tc>
        <w:tc>
          <w:tcPr>
            <w:tcW w:w="1756" w:type="dxa"/>
            <w:shd w:val="clear" w:color="auto" w:fill="FFFFFF"/>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8 983 146</w:t>
            </w:r>
          </w:p>
        </w:tc>
        <w:tc>
          <w:tcPr>
            <w:tcW w:w="1986" w:type="dxa"/>
            <w:shd w:val="clear" w:color="auto" w:fill="FFFFFF"/>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28 051 199</w:t>
            </w:r>
          </w:p>
        </w:tc>
        <w:tc>
          <w:tcPr>
            <w:tcW w:w="1532" w:type="dxa"/>
            <w:shd w:val="clear" w:color="auto" w:fill="FFFFFF"/>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ascii="Times New Roman" w:eastAsia="Times New Roman" w:hAnsi="Times New Roman" w:cs="Times New Roman"/>
                <w:szCs w:val="20"/>
                <w:lang w:bidi="ar-SA"/>
              </w:rPr>
            </w:pPr>
            <w:r>
              <w:rPr>
                <w:rFonts w:eastAsia="Times New Roman" w:cs="Times New Roman"/>
                <w:sz w:val="20"/>
                <w:szCs w:val="20"/>
                <w:lang w:bidi="ar-SA"/>
              </w:rPr>
              <w:t>-34 440 003</w:t>
            </w:r>
          </w:p>
        </w:tc>
      </w:tr>
      <w:tr>
        <w:tblPrEx>
          <w:tblW w:w="14350" w:type="dxa"/>
          <w:jc w:val="center"/>
          <w:shd w:val="clear" w:color="auto" w:fill="FFFFFF"/>
          <w:tblCellMar>
            <w:left w:w="70" w:type="dxa"/>
            <w:right w:w="70" w:type="dxa"/>
          </w:tblCellMar>
          <w:tblLook w:val="04A0"/>
        </w:tblPrEx>
        <w:trPr>
          <w:trHeight w:val="227"/>
          <w:jc w:val="center"/>
        </w:trPr>
        <w:tc>
          <w:tcPr>
            <w:tcW w:w="5564" w:type="dxa"/>
            <w:gridSpan w:val="2"/>
            <w:shd w:val="clear" w:color="auto" w:fill="FFFFFF"/>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Suma przekroczeń i nadwyżek w latach 2022-2025 </w:t>
            </w:r>
          </w:p>
        </w:tc>
        <w:tc>
          <w:tcPr>
            <w:tcW w:w="1756" w:type="dxa"/>
            <w:shd w:val="clear" w:color="auto" w:fill="FFFFFF"/>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 </w:t>
            </w:r>
          </w:p>
        </w:tc>
        <w:tc>
          <w:tcPr>
            <w:tcW w:w="1756" w:type="dxa"/>
            <w:shd w:val="clear" w:color="auto" w:fill="FFFFFF"/>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 </w:t>
            </w:r>
          </w:p>
        </w:tc>
        <w:tc>
          <w:tcPr>
            <w:tcW w:w="1756" w:type="dxa"/>
            <w:shd w:val="clear" w:color="auto" w:fill="FFFFFF"/>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 </w:t>
            </w:r>
          </w:p>
        </w:tc>
        <w:tc>
          <w:tcPr>
            <w:tcW w:w="1986" w:type="dxa"/>
            <w:shd w:val="clear" w:color="auto" w:fill="FFFFFF"/>
            <w:vAlign w:val="bottom"/>
          </w:tcPr>
          <w:p>
            <w:pPr>
              <w:keepNext w:val="0"/>
              <w:keepLines w:val="0"/>
              <w:widowControl/>
              <w:suppressLineNumbers w:val="0"/>
              <w:shd w:val="clear" w:color="auto" w:fill="auto"/>
              <w:suppressAutoHyphens w:val="0"/>
              <w:spacing w:before="0" w:beforeAutospacing="0" w:after="0" w:afterAutospacing="0" w:line="240" w:lineRule="auto"/>
              <w:ind w:left="3" w:right="0" w:firstLine="0"/>
              <w:contextualSpacing w:val="0"/>
              <w:jc w:val="right"/>
              <w:rPr>
                <w:rFonts w:eastAsia="Times New Roman" w:cs="Times New Roman"/>
                <w:sz w:val="20"/>
                <w:szCs w:val="20"/>
                <w:lang w:bidi="ar-SA"/>
              </w:rPr>
            </w:pPr>
            <w:r>
              <w:rPr>
                <w:rFonts w:eastAsia="Times New Roman" w:cs="Times New Roman"/>
                <w:sz w:val="20"/>
                <w:szCs w:val="20"/>
                <w:lang w:bidi="ar-SA"/>
              </w:rPr>
              <w:t>122 290 562</w:t>
            </w:r>
          </w:p>
        </w:tc>
        <w:tc>
          <w:tcPr>
            <w:tcW w:w="1532" w:type="dxa"/>
            <w:shd w:val="clear" w:color="auto" w:fill="FFFFFF"/>
            <w:vAlign w:val="bottom"/>
          </w:tcPr>
          <w:p>
            <w:pPr>
              <w:keepNext w:val="0"/>
              <w:keepLines w:val="0"/>
              <w:widowControl/>
              <w:suppressLineNumbers w:val="0"/>
              <w:shd w:val="clear" w:color="auto" w:fill="auto"/>
              <w:suppressAutoHyphens w:val="0"/>
              <w:spacing w:before="0" w:beforeAutospacing="0" w:after="0" w:afterAutospacing="0" w:line="240" w:lineRule="auto"/>
              <w:ind w:left="3" w:right="0" w:firstLine="0"/>
              <w:contextualSpacing w:val="0"/>
              <w:jc w:val="right"/>
              <w:rPr>
                <w:rFonts w:eastAsia="Times New Roman" w:cs="Times New Roman"/>
                <w:sz w:val="20"/>
                <w:szCs w:val="20"/>
                <w:lang w:bidi="ar-SA"/>
              </w:rPr>
            </w:pPr>
          </w:p>
        </w:tc>
      </w:tr>
      <w:tr>
        <w:tblPrEx>
          <w:tblW w:w="14350" w:type="dxa"/>
          <w:jc w:val="center"/>
          <w:shd w:val="clear" w:color="auto" w:fill="FFFFFF"/>
          <w:tblCellMar>
            <w:left w:w="70" w:type="dxa"/>
            <w:right w:w="70" w:type="dxa"/>
          </w:tblCellMar>
          <w:tblLook w:val="04A0"/>
        </w:tblPrEx>
        <w:trPr>
          <w:trHeight w:val="227"/>
          <w:jc w:val="center"/>
        </w:trPr>
        <w:tc>
          <w:tcPr>
            <w:tcW w:w="5564" w:type="dxa"/>
            <w:gridSpan w:val="2"/>
            <w:shd w:val="clear" w:color="auto" w:fill="FFFFFF"/>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Suma przekroczeń i nadwyżek w latach 2022-2026</w:t>
            </w:r>
          </w:p>
        </w:tc>
        <w:tc>
          <w:tcPr>
            <w:tcW w:w="7254" w:type="dxa"/>
            <w:gridSpan w:val="4"/>
            <w:shd w:val="clear" w:color="auto" w:fill="FFFFFF"/>
            <w:vAlign w:val="bottom"/>
          </w:tcPr>
          <w:p>
            <w:pPr>
              <w:keepNext w:val="0"/>
              <w:keepLines w:val="0"/>
              <w:widowControl/>
              <w:suppressLineNumbers w:val="0"/>
              <w:shd w:val="clear" w:color="auto" w:fill="auto"/>
              <w:suppressAutoHyphens w:val="0"/>
              <w:spacing w:before="0" w:beforeAutospacing="0" w:after="0" w:afterAutospacing="0" w:line="240" w:lineRule="auto"/>
              <w:ind w:left="3" w:right="0" w:firstLine="0"/>
              <w:contextualSpacing w:val="0"/>
              <w:jc w:val="right"/>
              <w:rPr>
                <w:rFonts w:eastAsia="Times New Roman" w:cs="Times New Roman"/>
                <w:sz w:val="20"/>
                <w:szCs w:val="20"/>
                <w:lang w:bidi="ar-SA"/>
              </w:rPr>
            </w:pPr>
          </w:p>
        </w:tc>
        <w:tc>
          <w:tcPr>
            <w:tcW w:w="1532" w:type="dxa"/>
            <w:shd w:val="clear" w:color="auto" w:fill="FFFFFF"/>
            <w:vAlign w:val="bottom"/>
          </w:tcPr>
          <w:p>
            <w:pPr>
              <w:keepNext w:val="0"/>
              <w:keepLines w:val="0"/>
              <w:widowControl/>
              <w:suppressLineNumbers w:val="0"/>
              <w:shd w:val="clear" w:color="auto" w:fill="auto"/>
              <w:suppressAutoHyphens w:val="0"/>
              <w:spacing w:before="0" w:beforeAutospacing="0" w:after="0" w:afterAutospacing="0" w:line="240" w:lineRule="auto"/>
              <w:ind w:left="3" w:right="0" w:firstLine="0"/>
              <w:contextualSpacing w:val="0"/>
              <w:jc w:val="right"/>
              <w:rPr>
                <w:rFonts w:eastAsia="Times New Roman" w:cs="Times New Roman"/>
                <w:sz w:val="20"/>
                <w:szCs w:val="20"/>
                <w:lang w:bidi="ar-SA"/>
              </w:rPr>
            </w:pPr>
            <w:r>
              <w:rPr>
                <w:rFonts w:eastAsia="Times New Roman" w:cs="Times New Roman"/>
                <w:sz w:val="20"/>
                <w:szCs w:val="20"/>
                <w:lang w:bidi="ar-SA"/>
              </w:rPr>
              <w:t>87 850 599</w:t>
            </w:r>
          </w:p>
        </w:tc>
      </w:tr>
    </w:tbl>
    <w:p>
      <w:pPr>
        <w:keepNext w:val="0"/>
        <w:keepLines w:val="0"/>
        <w:widowControl/>
        <w:suppressLineNumbers w:val="0"/>
        <w:shd w:val="clear" w:color="auto" w:fill="auto"/>
        <w:suppressAutoHyphens w:val="0"/>
        <w:spacing w:before="24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b/>
          <w:szCs w:val="20"/>
          <w:lang w:bidi="ar-SA"/>
        </w:rPr>
        <w:t>8. Wskaźnik spłaty zobowiązań</w:t>
      </w:r>
      <w:r>
        <w:rPr>
          <w:rFonts w:eastAsia="Times New Roman" w:cs="Times New Roman"/>
          <w:szCs w:val="20"/>
          <w:lang w:bidi="ar-SA"/>
        </w:rPr>
        <w:t xml:space="preserve"> </w:t>
      </w:r>
    </w:p>
    <w:p>
      <w:pPr>
        <w:keepNext w:val="0"/>
        <w:keepLines w:val="0"/>
        <w:widowControl/>
        <w:suppressLineNumbers w:val="0"/>
        <w:shd w:val="clear" w:color="auto" w:fill="auto"/>
        <w:tabs>
          <w:tab w:val="left" w:pos="360"/>
        </w:tabs>
        <w:suppressAutoHyphens w:val="0"/>
        <w:spacing w:before="0" w:beforeAutospacing="0" w:after="240" w:afterAutospacing="0" w:line="240" w:lineRule="auto"/>
        <w:ind w:left="0" w:right="0" w:firstLine="0"/>
        <w:contextualSpacing w:val="0"/>
        <w:jc w:val="both"/>
        <w:rPr>
          <w:rFonts w:eastAsia="Times New Roman" w:cs="Times New Roman"/>
          <w:szCs w:val="20"/>
          <w:lang w:bidi="ar-SA"/>
        </w:rPr>
      </w:pPr>
      <w:r>
        <w:rPr>
          <w:rFonts w:eastAsia="Times New Roman" w:cs="Times New Roman"/>
          <w:szCs w:val="20"/>
          <w:lang w:bidi="ar-SA"/>
        </w:rPr>
        <w:t>Zgodnie z przepisami ustawy o finansach publicznych wyliczono wskaźnik, określony w art. 243 ustawy, uwzględniając wyłączenia opisane powyżej oraz obecnie obowiązujące przepisy. Wskaźnik wyliczany jest na podstawie danych z ostatnich siedmiu lat.</w:t>
      </w:r>
    </w:p>
    <w:p>
      <w:pPr>
        <w:keepNext w:val="0"/>
        <w:keepLines w:val="0"/>
        <w:widowControl/>
        <w:suppressLineNumbers w:val="0"/>
        <w:shd w:val="clear" w:color="auto" w:fill="auto"/>
        <w:tabs>
          <w:tab w:val="left" w:pos="360"/>
        </w:tabs>
        <w:suppressAutoHyphens w:val="0"/>
        <w:spacing w:before="0" w:beforeAutospacing="0" w:after="240" w:afterAutospacing="0" w:line="240" w:lineRule="auto"/>
        <w:ind w:left="0" w:right="0" w:firstLine="0"/>
        <w:contextualSpacing w:val="0"/>
        <w:rPr>
          <w:rFonts w:eastAsia="Times New Roman" w:cs="Times New Roman"/>
          <w:szCs w:val="20"/>
          <w:lang w:bidi="ar-SA"/>
        </w:rPr>
      </w:pPr>
      <w:r>
        <w:rPr>
          <w:rFonts w:eastAsia="Times New Roman" w:cs="Times New Roman"/>
          <w:szCs w:val="20"/>
          <w:lang w:bidi="ar-SA"/>
        </w:rPr>
        <w:t xml:space="preserve">W oparciu o powyższe wyliczenia we wszystkich latach analizy wskaźnik jest spełniony. </w:t>
      </w:r>
    </w:p>
    <w:p>
      <w:pPr>
        <w:keepNext w:val="0"/>
        <w:keepLines w:val="0"/>
        <w:widowControl/>
        <w:suppressLineNumbers w:val="0"/>
        <w:shd w:val="clear" w:color="auto" w:fill="auto"/>
        <w:tabs>
          <w:tab w:val="left" w:pos="360"/>
        </w:tabs>
        <w:suppressAutoHyphens w:val="0"/>
        <w:spacing w:before="0" w:beforeAutospacing="0" w:after="240" w:afterAutospacing="0" w:line="240" w:lineRule="auto"/>
        <w:ind w:left="0" w:right="0" w:firstLine="0"/>
        <w:contextualSpacing w:val="0"/>
        <w:rPr>
          <w:rFonts w:eastAsia="Times New Roman" w:cs="Times New Roman"/>
          <w:szCs w:val="20"/>
          <w:lang w:bidi="ar-SA"/>
        </w:rPr>
      </w:pPr>
      <w:r>
        <w:rPr>
          <w:rFonts w:eastAsia="Times New Roman" w:cs="Times New Roman"/>
          <w:szCs w:val="20"/>
          <w:lang w:bidi="ar-SA"/>
        </w:rPr>
        <w:t>Wskaźniki w latach 2026-2029 kształtują się następująco:</w:t>
      </w:r>
    </w:p>
    <w:tbl>
      <w:tblPr>
        <w:tblStyle w:val="TableNormal"/>
        <w:tblW w:w="12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7953"/>
        <w:gridCol w:w="1098"/>
        <w:gridCol w:w="1065"/>
        <w:gridCol w:w="1133"/>
        <w:gridCol w:w="1099"/>
      </w:tblGrid>
      <w:tr>
        <w:tblPrEx>
          <w:tblW w:w="12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Ex>
        <w:trPr>
          <w:trHeight w:val="397"/>
          <w:jc w:val="center"/>
        </w:trPr>
        <w:tc>
          <w:tcPr>
            <w:tcW w:w="7953" w:type="dxa"/>
            <w:noWrap/>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lang w:bidi="ar-SA"/>
              </w:rPr>
            </w:pPr>
            <w:r>
              <w:rPr>
                <w:rFonts w:eastAsia="Times New Roman" w:cs="Times New Roman"/>
                <w:sz w:val="20"/>
                <w:szCs w:val="20"/>
                <w:lang w:bidi="ar-SA"/>
              </w:rPr>
              <w:t xml:space="preserve"> </w:t>
            </w:r>
          </w:p>
        </w:tc>
        <w:tc>
          <w:tcPr>
            <w:tcW w:w="1098" w:type="dxa"/>
            <w:noWrap/>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2026</w:t>
            </w:r>
          </w:p>
        </w:tc>
        <w:tc>
          <w:tcPr>
            <w:tcW w:w="1065" w:type="dxa"/>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2027</w:t>
            </w:r>
          </w:p>
        </w:tc>
        <w:tc>
          <w:tcPr>
            <w:tcW w:w="1133" w:type="dxa"/>
            <w:noWrap/>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2028</w:t>
            </w:r>
          </w:p>
        </w:tc>
        <w:tc>
          <w:tcPr>
            <w:tcW w:w="1099" w:type="dxa"/>
            <w:noWrap/>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lang w:bidi="ar-SA"/>
              </w:rPr>
            </w:pPr>
            <w:r>
              <w:rPr>
                <w:rFonts w:eastAsia="Times New Roman" w:cs="Times New Roman"/>
                <w:sz w:val="20"/>
                <w:szCs w:val="20"/>
                <w:lang w:bidi="ar-SA"/>
              </w:rPr>
              <w:t>2029</w:t>
            </w:r>
          </w:p>
        </w:tc>
      </w:tr>
      <w:tr>
        <w:tblPrEx>
          <w:tblW w:w="12348" w:type="dxa"/>
          <w:jc w:val="center"/>
          <w:tblLayout w:type="fixed"/>
          <w:tblCellMar>
            <w:left w:w="70" w:type="dxa"/>
            <w:right w:w="70" w:type="dxa"/>
          </w:tblCellMar>
          <w:tblLook w:val="04A0"/>
        </w:tblPrEx>
        <w:trPr>
          <w:trHeight w:val="284"/>
          <w:jc w:val="center"/>
        </w:trPr>
        <w:tc>
          <w:tcPr>
            <w:tcW w:w="7953" w:type="dxa"/>
            <w:vAlign w:val="center"/>
          </w:tcPr>
          <w:p>
            <w:pPr>
              <w:keepNext/>
              <w:keepLines w:val="0"/>
              <w:widowControl/>
              <w:suppressLineNumbers w:val="0"/>
              <w:shd w:val="clear" w:color="auto" w:fill="auto"/>
              <w:suppressAutoHyphens w:val="0"/>
              <w:spacing w:before="0" w:beforeAutospacing="0" w:after="0" w:afterAutospacing="0" w:line="240" w:lineRule="auto"/>
              <w:ind w:left="125" w:right="0" w:firstLine="0"/>
              <w:contextualSpacing w:val="0"/>
              <w:outlineLvl w:val="4"/>
              <w:rPr>
                <w:rFonts w:eastAsia="Times New Roman" w:cs="Times New Roman"/>
                <w:sz w:val="20"/>
                <w:szCs w:val="20"/>
                <w:highlight w:val="yellow"/>
                <w:lang w:bidi="ar-SA"/>
              </w:rPr>
            </w:pPr>
            <w:r>
              <w:rPr>
                <w:rFonts w:eastAsia="Times New Roman" w:cs="Times New Roman"/>
                <w:sz w:val="20"/>
                <w:szCs w:val="20"/>
                <w:lang w:bidi="ar-SA"/>
              </w:rPr>
              <w:t>Relacja określona po lewej stronie wzoru</w:t>
            </w:r>
          </w:p>
        </w:tc>
        <w:tc>
          <w:tcPr>
            <w:tcW w:w="1098" w:type="dxa"/>
            <w:noWrap/>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5,04%</w:t>
            </w:r>
          </w:p>
        </w:tc>
        <w:tc>
          <w:tcPr>
            <w:tcW w:w="1065" w:type="dxa"/>
            <w:noWrap/>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4,24%</w:t>
            </w:r>
          </w:p>
        </w:tc>
        <w:tc>
          <w:tcPr>
            <w:tcW w:w="1133" w:type="dxa"/>
            <w:noWrap/>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3,94%</w:t>
            </w:r>
          </w:p>
        </w:tc>
        <w:tc>
          <w:tcPr>
            <w:tcW w:w="1099" w:type="dxa"/>
            <w:noWrap/>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3,60%</w:t>
            </w:r>
          </w:p>
        </w:tc>
      </w:tr>
      <w:tr>
        <w:tblPrEx>
          <w:tblW w:w="12348" w:type="dxa"/>
          <w:jc w:val="center"/>
          <w:tblLayout w:type="fixed"/>
          <w:tblCellMar>
            <w:left w:w="70" w:type="dxa"/>
            <w:right w:w="70" w:type="dxa"/>
          </w:tblCellMar>
          <w:tblLook w:val="04A0"/>
        </w:tblPrEx>
        <w:trPr>
          <w:trHeight w:val="284"/>
          <w:jc w:val="center"/>
        </w:trPr>
        <w:tc>
          <w:tcPr>
            <w:tcW w:w="7953" w:type="dxa"/>
            <w:vAlign w:val="center"/>
          </w:tcPr>
          <w:p>
            <w:pPr>
              <w:keepNext w:val="0"/>
              <w:keepLines w:val="0"/>
              <w:widowControl/>
              <w:suppressLineNumbers w:val="0"/>
              <w:shd w:val="clear" w:color="auto" w:fill="auto"/>
              <w:suppressAutoHyphens w:val="0"/>
              <w:spacing w:before="0" w:beforeAutospacing="0" w:after="0" w:afterAutospacing="0" w:line="240" w:lineRule="auto"/>
              <w:ind w:left="125" w:right="0" w:firstLine="0"/>
              <w:contextualSpacing w:val="0"/>
              <w:rPr>
                <w:rFonts w:eastAsia="Times New Roman" w:cs="Times New Roman"/>
                <w:sz w:val="20"/>
                <w:szCs w:val="20"/>
                <w:highlight w:val="yellow"/>
                <w:lang w:bidi="ar-SA"/>
              </w:rPr>
            </w:pPr>
            <w:r>
              <w:rPr>
                <w:rFonts w:eastAsia="Times New Roman" w:cs="Times New Roman"/>
                <w:sz w:val="20"/>
                <w:szCs w:val="20"/>
                <w:lang w:bidi="ar-SA"/>
              </w:rPr>
              <w:t>Relacja określona po prawej stronie wzoru – dopuszczalny limit spłaty zobowiązań</w:t>
            </w:r>
          </w:p>
        </w:tc>
        <w:tc>
          <w:tcPr>
            <w:tcW w:w="1098" w:type="dxa"/>
            <w:noWrap/>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7,66%</w:t>
            </w:r>
          </w:p>
        </w:tc>
        <w:tc>
          <w:tcPr>
            <w:tcW w:w="1065" w:type="dxa"/>
            <w:noWrap/>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5,83%</w:t>
            </w:r>
          </w:p>
        </w:tc>
        <w:tc>
          <w:tcPr>
            <w:tcW w:w="1133" w:type="dxa"/>
            <w:noWrap/>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6,40%</w:t>
            </w:r>
          </w:p>
        </w:tc>
        <w:tc>
          <w:tcPr>
            <w:tcW w:w="1099" w:type="dxa"/>
            <w:noWrap/>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4,51%</w:t>
            </w:r>
          </w:p>
        </w:tc>
      </w:tr>
      <w:tr>
        <w:tblPrEx>
          <w:tblW w:w="12348" w:type="dxa"/>
          <w:jc w:val="center"/>
          <w:tblLayout w:type="fixed"/>
          <w:tblCellMar>
            <w:left w:w="70" w:type="dxa"/>
            <w:right w:w="70" w:type="dxa"/>
          </w:tblCellMar>
          <w:tblLook w:val="04A0"/>
        </w:tblPrEx>
        <w:trPr>
          <w:trHeight w:val="284"/>
          <w:jc w:val="center"/>
        </w:trPr>
        <w:tc>
          <w:tcPr>
            <w:tcW w:w="7953" w:type="dxa"/>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highlight w:val="yellow"/>
                <w:lang w:bidi="ar-SA"/>
              </w:rPr>
            </w:pPr>
            <w:r>
              <w:rPr>
                <w:rFonts w:eastAsia="Times New Roman" w:cs="Times New Roman"/>
                <w:b/>
                <w:sz w:val="20"/>
                <w:szCs w:val="20"/>
                <w:lang w:bidi="ar-SA"/>
              </w:rPr>
              <w:t>Różnica</w:t>
            </w:r>
          </w:p>
        </w:tc>
        <w:tc>
          <w:tcPr>
            <w:tcW w:w="1098" w:type="dxa"/>
            <w:noWrap/>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2,62%</w:t>
            </w:r>
          </w:p>
        </w:tc>
        <w:tc>
          <w:tcPr>
            <w:tcW w:w="1065" w:type="dxa"/>
            <w:noWrap/>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1,59%</w:t>
            </w:r>
          </w:p>
        </w:tc>
        <w:tc>
          <w:tcPr>
            <w:tcW w:w="1133" w:type="dxa"/>
            <w:noWrap/>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2,46%</w:t>
            </w:r>
          </w:p>
        </w:tc>
        <w:tc>
          <w:tcPr>
            <w:tcW w:w="1099" w:type="dxa"/>
            <w:noWrap/>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lang w:bidi="ar-SA"/>
              </w:rPr>
            </w:pPr>
            <w:r>
              <w:rPr>
                <w:rFonts w:eastAsia="Times New Roman" w:cs="Times New Roman"/>
                <w:sz w:val="20"/>
                <w:szCs w:val="20"/>
                <w:lang w:bidi="ar-SA"/>
              </w:rPr>
              <w:t>0,91%</w:t>
            </w:r>
          </w:p>
        </w:tc>
      </w:tr>
    </w:tbl>
    <w:p>
      <w:pPr>
        <w:keepNext w:val="0"/>
        <w:keepLines w:val="0"/>
        <w:widowControl/>
        <w:suppressLineNumbers w:val="0"/>
        <w:shd w:val="clear" w:color="auto" w:fill="auto"/>
        <w:tabs>
          <w:tab w:val="left" w:pos="360"/>
        </w:tabs>
        <w:suppressAutoHyphens w:val="0"/>
        <w:spacing w:before="240" w:beforeAutospacing="0" w:after="120" w:afterAutospacing="0" w:line="240" w:lineRule="auto"/>
        <w:ind w:left="0" w:right="0" w:firstLine="357"/>
        <w:contextualSpacing w:val="0"/>
        <w:jc w:val="both"/>
        <w:rPr>
          <w:rFonts w:eastAsia="Times New Roman" w:cs="Times New Roman"/>
          <w:szCs w:val="20"/>
          <w:lang w:bidi="ar-SA"/>
        </w:rPr>
      </w:pPr>
      <w:r>
        <w:rPr>
          <w:rFonts w:eastAsia="Times New Roman" w:cs="Times New Roman"/>
          <w:szCs w:val="20"/>
          <w:lang w:bidi="ar-SA"/>
        </w:rPr>
        <w:t xml:space="preserve">W kolejnych latach wskaźnik po zmianie, z uwzględnieniem przyjętych parametrów jest spełniony. Podkreślić równocześnie należy, iż każdorazowa zmiana składowych wpływających na spełnienie relacji określonej przepisami art. 243 ustawy o finansach publicznych podlegać będzie wnikliwej analizie, celem niedopuszczenia do braku tej relacji. </w:t>
      </w:r>
    </w:p>
    <w:sectPr>
      <w:footerReference w:type="default" r:id="rId11"/>
      <w:type w:val="nextPage"/>
      <w:pgSz w:w="16838" w:h="11906" w:orient="landscape" w:code="0"/>
      <w:pgMar w:top="1418" w:right="1021" w:bottom="1021" w:left="1021" w:header="0" w:footer="0" w:gutter="0"/>
      <w:cols w:space="708"/>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6577"/>
      <w:gridCol w:w="328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6577" w:type="dxa"/>
          <w:tcBorders>
            <w:top w:val="single" w:sz="4" w:space="0" w:color="auto"/>
            <w:left w:val="nil"/>
            <w:bottom w:val="nil"/>
            <w:right w:val="nil"/>
          </w:tcBorders>
          <w:noWrap w:val="0"/>
          <w:tcMar>
            <w:top w:w="100" w:type="dxa"/>
            <w:left w:w="0" w:type="dxa"/>
            <w:bottom w:w="0" w:type="dxa"/>
            <w:right w:w="0" w:type="dxa"/>
          </w:tcMar>
          <w:vAlign w:val="top"/>
          <w:hideMark/>
        </w:tcPr>
        <w:p>
          <w:pPr>
            <w:jc w:val="left"/>
            <w:rPr>
              <w:rFonts w:ascii="Arial" w:eastAsia="Arial" w:hAnsi="Arial" w:cs="Arial"/>
              <w:b w:val="0"/>
              <w:sz w:val="18"/>
            </w:rPr>
          </w:pPr>
          <w:r>
            <w:rPr>
              <w:rFonts w:ascii="Arial" w:eastAsia="Arial" w:hAnsi="Arial" w:cs="Arial"/>
              <w:b w:val="0"/>
              <w:sz w:val="18"/>
            </w:rPr>
            <w:t>Id: FC5B865B-3AB1-4A25-89A8-0B54736FD9D1. Podpisany</w:t>
          </w:r>
        </w:p>
      </w:tc>
      <w:tc>
        <w:tcPr>
          <w:tcW w:w="3289" w:type="dxa"/>
          <w:tcBorders>
            <w:top w:val="single" w:sz="4" w:space="0" w:color="auto"/>
            <w:left w:val="nil"/>
            <w:bottom w:val="nil"/>
            <w:right w:val="nil"/>
          </w:tcBorders>
          <w:noWrap w:val="0"/>
          <w:tcMar>
            <w:top w:w="100" w:type="dxa"/>
            <w:left w:w="0" w:type="dxa"/>
            <w:bottom w:w="0" w:type="dxa"/>
            <w:right w:w="0" w:type="dxa"/>
          </w:tcMar>
          <w:vAlign w:val="top"/>
          <w:hideMark/>
        </w:tcPr>
        <w:p>
          <w:pPr>
            <w:jc w:val="right"/>
            <w:rPr>
              <w:rFonts w:ascii="Arial" w:eastAsia="Arial" w:hAnsi="Arial" w:cs="Arial"/>
              <w:b w:val="0"/>
              <w:sz w:val="18"/>
            </w:rPr>
          </w:pPr>
          <w:r>
            <w:rPr>
              <w:rFonts w:ascii="Arial" w:eastAsia="Arial" w:hAnsi="Arial" w:cs="Arial"/>
              <w:b w:val="0"/>
              <w:sz w:val="18"/>
            </w:rPr>
            <w:t xml:space="preserve">Strona </w:t>
          </w:r>
          <w:r>
            <w:rPr>
              <w:rFonts w:ascii="Arial" w:eastAsia="Arial" w:hAnsi="Arial" w:cs="Arial"/>
              <w:b w:val="0"/>
              <w:sz w:val="18"/>
            </w:rPr>
            <w:fldChar w:fldCharType="begin"/>
          </w:r>
          <w:r>
            <w:rPr>
              <w:rFonts w:ascii="Arial" w:eastAsia="Arial" w:hAnsi="Arial" w:cs="Arial"/>
              <w:b w:val="0"/>
              <w:sz w:val="18"/>
            </w:rPr>
            <w:instrText>PAGE</w:instrText>
          </w:r>
          <w:r>
            <w:rPr>
              <w:rFonts w:ascii="Arial" w:eastAsia="Arial" w:hAnsi="Arial" w:cs="Arial"/>
              <w:b w:val="0"/>
              <w:sz w:val="18"/>
            </w:rPr>
            <w:fldChar w:fldCharType="separate"/>
          </w:r>
          <w:r>
            <w:rPr>
              <w:rFonts w:ascii="Arial" w:eastAsia="Arial" w:hAnsi="Arial" w:cs="Arial"/>
              <w:b w:val="0"/>
              <w:sz w:val="18"/>
            </w:rPr>
            <w:fldChar w:fldCharType="end"/>
          </w:r>
        </w:p>
      </w:tc>
    </w:tr>
  </w:tbl>
  <w:p>
    <w:pPr>
      <w:rPr>
        <w:rFonts w:ascii="Arial" w:eastAsia="Arial" w:hAnsi="Arial" w:cs="Arial"/>
        <w:b w:val="0"/>
        <w:sz w:val="18"/>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6577"/>
      <w:gridCol w:w="328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6577" w:type="dxa"/>
          <w:tcBorders>
            <w:top w:val="single" w:sz="4" w:space="0" w:color="auto"/>
            <w:left w:val="nil"/>
            <w:bottom w:val="nil"/>
            <w:right w:val="nil"/>
          </w:tcBorders>
          <w:noWrap w:val="0"/>
          <w:tcMar>
            <w:top w:w="100" w:type="dxa"/>
            <w:left w:w="0" w:type="dxa"/>
            <w:bottom w:w="0" w:type="dxa"/>
            <w:right w:w="0" w:type="dxa"/>
          </w:tcMar>
          <w:vAlign w:val="top"/>
          <w:hideMark/>
        </w:tcPr>
        <w:p>
          <w:pPr>
            <w:jc w:val="left"/>
            <w:rPr>
              <w:rFonts w:ascii="Arial" w:eastAsia="Arial" w:hAnsi="Arial" w:cs="Arial"/>
              <w:b w:val="0"/>
              <w:sz w:val="18"/>
            </w:rPr>
          </w:pPr>
          <w:r>
            <w:rPr>
              <w:rFonts w:ascii="Arial" w:eastAsia="Arial" w:hAnsi="Arial" w:cs="Arial"/>
              <w:b w:val="0"/>
              <w:sz w:val="18"/>
            </w:rPr>
            <w:t>Id: FC5B865B-3AB1-4A25-89A8-0B54736FD9D1. Podpisany</w:t>
          </w:r>
        </w:p>
      </w:tc>
      <w:tc>
        <w:tcPr>
          <w:tcW w:w="3289" w:type="dxa"/>
          <w:tcBorders>
            <w:top w:val="single" w:sz="4" w:space="0" w:color="auto"/>
            <w:left w:val="nil"/>
            <w:bottom w:val="nil"/>
            <w:right w:val="nil"/>
          </w:tcBorders>
          <w:noWrap w:val="0"/>
          <w:tcMar>
            <w:top w:w="100" w:type="dxa"/>
            <w:left w:w="0" w:type="dxa"/>
            <w:bottom w:w="0" w:type="dxa"/>
            <w:right w:w="0" w:type="dxa"/>
          </w:tcMar>
          <w:vAlign w:val="top"/>
          <w:hideMark/>
        </w:tcPr>
        <w:p>
          <w:pPr>
            <w:jc w:val="right"/>
            <w:rPr>
              <w:rFonts w:ascii="Arial" w:eastAsia="Arial" w:hAnsi="Arial" w:cs="Arial"/>
              <w:b w:val="0"/>
              <w:sz w:val="18"/>
            </w:rPr>
          </w:pPr>
          <w:r>
            <w:rPr>
              <w:rFonts w:ascii="Arial" w:eastAsia="Arial" w:hAnsi="Arial" w:cs="Arial"/>
              <w:b w:val="0"/>
              <w:sz w:val="18"/>
            </w:rPr>
            <w:t xml:space="preserve">Strona </w:t>
          </w:r>
          <w:r>
            <w:rPr>
              <w:rFonts w:ascii="Arial" w:eastAsia="Arial" w:hAnsi="Arial" w:cs="Arial"/>
              <w:b w:val="0"/>
              <w:sz w:val="18"/>
            </w:rPr>
            <w:fldChar w:fldCharType="begin"/>
          </w:r>
          <w:r>
            <w:rPr>
              <w:rFonts w:ascii="Arial" w:eastAsia="Arial" w:hAnsi="Arial" w:cs="Arial"/>
              <w:b w:val="0"/>
              <w:sz w:val="18"/>
            </w:rPr>
            <w:instrText>PAGE</w:instrText>
          </w:r>
          <w:r>
            <w:rPr>
              <w:rFonts w:ascii="Arial" w:eastAsia="Arial" w:hAnsi="Arial" w:cs="Arial"/>
              <w:b w:val="0"/>
              <w:sz w:val="18"/>
            </w:rPr>
            <w:fldChar w:fldCharType="separate"/>
          </w:r>
          <w:r>
            <w:rPr>
              <w:rFonts w:ascii="Arial" w:eastAsia="Arial" w:hAnsi="Arial" w:cs="Arial"/>
              <w:b w:val="0"/>
              <w:sz w:val="18"/>
            </w:rPr>
            <w:fldChar w:fldCharType="end"/>
          </w:r>
        </w:p>
      </w:tc>
    </w:tr>
  </w:tbl>
  <w:p>
    <w:pPr>
      <w:rPr>
        <w:rFonts w:ascii="Arial" w:eastAsia="Arial" w:hAnsi="Arial" w:cs="Arial"/>
        <w:b w:val="0"/>
        <w:sz w:val="18"/>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0243"/>
      <w:gridCol w:w="5121"/>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10243" w:type="dxa"/>
          <w:tcBorders>
            <w:top w:val="single" w:sz="4" w:space="0" w:color="auto"/>
            <w:left w:val="nil"/>
            <w:bottom w:val="nil"/>
            <w:right w:val="nil"/>
          </w:tcBorders>
          <w:noWrap w:val="0"/>
          <w:tcMar>
            <w:top w:w="100" w:type="dxa"/>
            <w:left w:w="0" w:type="dxa"/>
            <w:bottom w:w="0" w:type="dxa"/>
            <w:right w:w="0" w:type="dxa"/>
          </w:tcMar>
          <w:vAlign w:val="top"/>
          <w:hideMark/>
        </w:tcPr>
        <w:p>
          <w:pPr>
            <w:jc w:val="left"/>
            <w:rPr>
              <w:rFonts w:ascii="Arial" w:eastAsia="Arial" w:hAnsi="Arial" w:cs="Arial"/>
              <w:b w:val="0"/>
              <w:sz w:val="18"/>
            </w:rPr>
          </w:pPr>
          <w:r>
            <w:rPr>
              <w:rFonts w:ascii="Arial" w:eastAsia="Arial" w:hAnsi="Arial" w:cs="Arial"/>
              <w:b w:val="0"/>
              <w:sz w:val="18"/>
            </w:rPr>
            <w:t>Id: FC5B865B-3AB1-4A25-89A8-0B54736FD9D1. Podpisany</w:t>
          </w:r>
        </w:p>
      </w:tc>
      <w:tc>
        <w:tcPr>
          <w:tcW w:w="5121" w:type="dxa"/>
          <w:tcBorders>
            <w:top w:val="single" w:sz="4" w:space="0" w:color="auto"/>
            <w:left w:val="nil"/>
            <w:bottom w:val="nil"/>
            <w:right w:val="nil"/>
          </w:tcBorders>
          <w:noWrap w:val="0"/>
          <w:tcMar>
            <w:top w:w="100" w:type="dxa"/>
            <w:left w:w="0" w:type="dxa"/>
            <w:bottom w:w="0" w:type="dxa"/>
            <w:right w:w="0" w:type="dxa"/>
          </w:tcMar>
          <w:vAlign w:val="top"/>
          <w:hideMark/>
        </w:tcPr>
        <w:p>
          <w:pPr>
            <w:jc w:val="right"/>
            <w:rPr>
              <w:rFonts w:ascii="Arial" w:eastAsia="Arial" w:hAnsi="Arial" w:cs="Arial"/>
              <w:b w:val="0"/>
              <w:sz w:val="18"/>
            </w:rPr>
          </w:pPr>
          <w:r>
            <w:rPr>
              <w:rFonts w:ascii="Arial" w:eastAsia="Arial" w:hAnsi="Arial" w:cs="Arial"/>
              <w:b w:val="0"/>
              <w:sz w:val="18"/>
            </w:rPr>
            <w:t xml:space="preserve">Strona </w:t>
          </w:r>
          <w:r>
            <w:rPr>
              <w:rFonts w:ascii="Arial" w:eastAsia="Arial" w:hAnsi="Arial" w:cs="Arial"/>
              <w:b w:val="0"/>
              <w:sz w:val="18"/>
            </w:rPr>
            <w:fldChar w:fldCharType="begin"/>
          </w:r>
          <w:r>
            <w:rPr>
              <w:rFonts w:ascii="Arial" w:eastAsia="Arial" w:hAnsi="Arial" w:cs="Arial"/>
              <w:b w:val="0"/>
              <w:sz w:val="18"/>
            </w:rPr>
            <w:instrText>PAGE</w:instrText>
          </w:r>
          <w:r>
            <w:rPr>
              <w:rFonts w:ascii="Arial" w:eastAsia="Arial" w:hAnsi="Arial" w:cs="Arial"/>
              <w:b w:val="0"/>
              <w:sz w:val="18"/>
            </w:rPr>
            <w:fldChar w:fldCharType="separate"/>
          </w:r>
          <w:r>
            <w:rPr>
              <w:rFonts w:ascii="Arial" w:eastAsia="Arial" w:hAnsi="Arial" w:cs="Arial"/>
              <w:b w:val="0"/>
              <w:sz w:val="18"/>
            </w:rPr>
            <w:fldChar w:fldCharType="end"/>
          </w:r>
        </w:p>
      </w:tc>
    </w:tr>
  </w:tbl>
  <w:p>
    <w:pPr>
      <w:rPr>
        <w:rFonts w:ascii="Arial" w:eastAsia="Arial" w:hAnsi="Arial" w:cs="Arial"/>
        <w:b w:val="0"/>
        <w:sz w:val="18"/>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9864"/>
      <w:gridCol w:w="4932"/>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9864" w:type="dxa"/>
          <w:tcBorders>
            <w:top w:val="single" w:sz="4" w:space="0" w:color="auto"/>
            <w:left w:val="nil"/>
            <w:bottom w:val="nil"/>
            <w:right w:val="nil"/>
          </w:tcBorders>
          <w:noWrap w:val="0"/>
          <w:tcMar>
            <w:top w:w="100" w:type="dxa"/>
            <w:left w:w="0" w:type="dxa"/>
            <w:bottom w:w="0" w:type="dxa"/>
            <w:right w:w="0" w:type="dxa"/>
          </w:tcMar>
          <w:vAlign w:val="top"/>
          <w:hideMark/>
        </w:tcPr>
        <w:p>
          <w:pPr>
            <w:jc w:val="left"/>
            <w:rPr>
              <w:rFonts w:ascii="Arial" w:eastAsia="Arial" w:hAnsi="Arial" w:cs="Arial"/>
              <w:b w:val="0"/>
              <w:sz w:val="18"/>
            </w:rPr>
          </w:pPr>
          <w:r>
            <w:rPr>
              <w:rFonts w:ascii="Arial" w:eastAsia="Arial" w:hAnsi="Arial" w:cs="Arial"/>
              <w:b w:val="0"/>
              <w:sz w:val="18"/>
            </w:rPr>
            <w:t>Id: FC5B865B-3AB1-4A25-89A8-0B54736FD9D1. Podpisany</w:t>
          </w:r>
        </w:p>
      </w:tc>
      <w:tc>
        <w:tcPr>
          <w:tcW w:w="4932" w:type="dxa"/>
          <w:tcBorders>
            <w:top w:val="single" w:sz="4" w:space="0" w:color="auto"/>
            <w:left w:val="nil"/>
            <w:bottom w:val="nil"/>
            <w:right w:val="nil"/>
          </w:tcBorders>
          <w:noWrap w:val="0"/>
          <w:tcMar>
            <w:top w:w="100" w:type="dxa"/>
            <w:left w:w="0" w:type="dxa"/>
            <w:bottom w:w="0" w:type="dxa"/>
            <w:right w:w="0" w:type="dxa"/>
          </w:tcMar>
          <w:vAlign w:val="top"/>
          <w:hideMark/>
        </w:tcPr>
        <w:p>
          <w:pPr>
            <w:jc w:val="right"/>
            <w:rPr>
              <w:rFonts w:ascii="Arial" w:eastAsia="Arial" w:hAnsi="Arial" w:cs="Arial"/>
              <w:b w:val="0"/>
              <w:sz w:val="18"/>
            </w:rPr>
          </w:pPr>
          <w:r>
            <w:rPr>
              <w:rFonts w:ascii="Arial" w:eastAsia="Arial" w:hAnsi="Arial" w:cs="Arial"/>
              <w:b w:val="0"/>
              <w:sz w:val="18"/>
            </w:rPr>
            <w:t xml:space="preserve">Strona </w:t>
          </w:r>
          <w:r>
            <w:rPr>
              <w:rFonts w:ascii="Arial" w:eastAsia="Arial" w:hAnsi="Arial" w:cs="Arial"/>
              <w:b w:val="0"/>
              <w:sz w:val="18"/>
            </w:rPr>
            <w:fldChar w:fldCharType="begin"/>
          </w:r>
          <w:r>
            <w:rPr>
              <w:rFonts w:ascii="Arial" w:eastAsia="Arial" w:hAnsi="Arial" w:cs="Arial"/>
              <w:b w:val="0"/>
              <w:sz w:val="18"/>
            </w:rPr>
            <w:instrText>PAGE</w:instrText>
          </w:r>
          <w:r>
            <w:rPr>
              <w:rFonts w:ascii="Arial" w:eastAsia="Arial" w:hAnsi="Arial" w:cs="Arial"/>
              <w:b w:val="0"/>
              <w:sz w:val="18"/>
            </w:rPr>
            <w:fldChar w:fldCharType="separate"/>
          </w:r>
          <w:r>
            <w:rPr>
              <w:rFonts w:ascii="Arial" w:eastAsia="Arial" w:hAnsi="Arial" w:cs="Arial"/>
              <w:b w:val="0"/>
              <w:sz w:val="18"/>
            </w:rPr>
            <w:fldChar w:fldCharType="end"/>
          </w:r>
        </w:p>
      </w:tc>
    </w:tr>
  </w:tbl>
  <w:p>
    <w:pPr>
      <w:rPr>
        <w:rFonts w:ascii="Arial" w:eastAsia="Arial" w:hAnsi="Arial" w:cs="Arial"/>
        <w:b w:val="0"/>
        <w:sz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footnoteRef/>
      </w:r>
      <w:r>
        <w:t xml:space="preserve"> Źródło: https://www.gov.pl/web/finanse/sprawozdania-roczne</w:t>
      </w:r>
    </w:p>
  </w:footnote>
  <w:footnote w:id="3">
    <w:p>
      <w:pPr>
        <w:shd w:val="clear" w:color="auto" w:fill="FFFFFF"/>
        <w:spacing w:before="120" w:beforeAutospacing="0" w:after="100" w:afterAutospacing="0"/>
        <w:rPr>
          <w:rFonts w:ascii="Open Sans" w:hAnsi="Open Sans"/>
          <w:color w:val="333333"/>
          <w:sz w:val="16"/>
        </w:rPr>
      </w:pPr>
      <w:r>
        <w:rPr>
          <w:rStyle w:val="FootnoteReference"/>
        </w:rPr>
        <w:footnoteRef/>
      </w:r>
      <w:r>
        <w:t xml:space="preserve"> </w:t>
      </w:r>
      <w:r>
        <w:rPr>
          <w:rFonts w:ascii="Open Sans" w:hAnsi="Open Sans"/>
          <w:color w:val="333333"/>
          <w:sz w:val="16"/>
        </w:rPr>
        <w:t>Art. 80 pkt 1): W celu obliczenia na rok 2025 kwoty potrzeb wyrównawczych jednostek samorządu terytorialnego, o których mowa w art. 23 pkt 1, przyjmuje się wartości determinant dla poszczególnych jednostek samorządu terytorialnego, dostępne na stronie internetowej Głównego Urzędu Statystycznego, według stanu na dzień 31 maja 2024 r.</w:t>
      </w:r>
    </w:p>
    <w:p>
      <w:pPr>
        <w:pStyle w:val="FootnoteText"/>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570B4"/>
    <w:multiLevelType w:val="hybridMultilevel"/>
    <w:tmpl w:val="0000000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nsid w:val="06D538A9"/>
    <w:multiLevelType w:val="hybridMultilevel"/>
    <w:tmpl w:val="00000000"/>
    <w:lvl w:ilvl="0">
      <w:start w:val="1"/>
      <w:numFmt w:val="bullet"/>
      <w:lvlText w:val=""/>
      <w:lvlJc w:val="left"/>
      <w:pPr>
        <w:ind w:left="1146" w:hanging="360"/>
      </w:pPr>
      <w:rPr>
        <w:rFonts w:ascii="Symbol" w:hAnsi="Symbol"/>
        <w:b/>
        <w:i w:val="0"/>
        <w:color w:val="auto"/>
        <w:sz w:val="28"/>
      </w:rPr>
    </w:lvl>
    <w:lvl w:ilvl="1">
      <w:start w:val="1"/>
      <w:numFmt w:val="bullet"/>
      <w:lvlText w:val="o"/>
      <w:lvlJc w:val="left"/>
      <w:pPr>
        <w:ind w:left="1866" w:hanging="360"/>
      </w:pPr>
      <w:rPr>
        <w:rFonts w:ascii="Courier New" w:hAnsi="Courier New"/>
      </w:rPr>
    </w:lvl>
    <w:lvl w:ilvl="2">
      <w:start w:val="1"/>
      <w:numFmt w:val="bullet"/>
      <w:lvlText w:val=""/>
      <w:lvlJc w:val="left"/>
      <w:pPr>
        <w:ind w:left="2586" w:hanging="360"/>
      </w:pPr>
      <w:rPr>
        <w:rFonts w:ascii="Wingdings" w:hAnsi="Wingdings"/>
      </w:rPr>
    </w:lvl>
    <w:lvl w:ilvl="3">
      <w:start w:val="1"/>
      <w:numFmt w:val="bullet"/>
      <w:lvlText w:val=""/>
      <w:lvlJc w:val="left"/>
      <w:pPr>
        <w:ind w:left="3306" w:hanging="360"/>
      </w:pPr>
      <w:rPr>
        <w:rFonts w:ascii="Symbol" w:hAnsi="Symbol"/>
      </w:rPr>
    </w:lvl>
    <w:lvl w:ilvl="4">
      <w:start w:val="1"/>
      <w:numFmt w:val="bullet"/>
      <w:lvlText w:val="o"/>
      <w:lvlJc w:val="left"/>
      <w:pPr>
        <w:ind w:left="4026" w:hanging="360"/>
      </w:pPr>
      <w:rPr>
        <w:rFonts w:ascii="Courier New" w:hAnsi="Courier New"/>
      </w:rPr>
    </w:lvl>
    <w:lvl w:ilvl="5">
      <w:start w:val="1"/>
      <w:numFmt w:val="bullet"/>
      <w:lvlText w:val=""/>
      <w:lvlJc w:val="left"/>
      <w:pPr>
        <w:ind w:left="4746" w:hanging="360"/>
      </w:pPr>
      <w:rPr>
        <w:rFonts w:ascii="Wingdings" w:hAnsi="Wingdings"/>
      </w:rPr>
    </w:lvl>
    <w:lvl w:ilvl="6">
      <w:start w:val="1"/>
      <w:numFmt w:val="bullet"/>
      <w:lvlText w:val=""/>
      <w:lvlJc w:val="left"/>
      <w:pPr>
        <w:ind w:left="5466" w:hanging="360"/>
      </w:pPr>
      <w:rPr>
        <w:rFonts w:ascii="Symbol" w:hAnsi="Symbol"/>
      </w:rPr>
    </w:lvl>
    <w:lvl w:ilvl="7">
      <w:start w:val="1"/>
      <w:numFmt w:val="bullet"/>
      <w:lvlText w:val="o"/>
      <w:lvlJc w:val="left"/>
      <w:pPr>
        <w:ind w:left="6186" w:hanging="360"/>
      </w:pPr>
      <w:rPr>
        <w:rFonts w:ascii="Courier New" w:hAnsi="Courier New"/>
      </w:rPr>
    </w:lvl>
    <w:lvl w:ilvl="8">
      <w:start w:val="1"/>
      <w:numFmt w:val="bullet"/>
      <w:lvlText w:val=""/>
      <w:lvlJc w:val="left"/>
      <w:pPr>
        <w:ind w:left="6906" w:hanging="360"/>
      </w:pPr>
      <w:rPr>
        <w:rFonts w:ascii="Wingdings" w:hAnsi="Wingdings"/>
      </w:rPr>
    </w:lvl>
  </w:abstractNum>
  <w:abstractNum w:abstractNumId="2">
    <w:nsid w:val="13D464CE"/>
    <w:multiLevelType w:val="hybridMultilevel"/>
    <w:tmpl w:val="000000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16916B84"/>
    <w:multiLevelType w:val="hybridMultilevel"/>
    <w:tmpl w:val="0000000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
    <w:nsid w:val="1FDC72D5"/>
    <w:multiLevelType w:val="hybridMultilevel"/>
    <w:tmpl w:val="0000000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5">
    <w:nsid w:val="211C73F0"/>
    <w:multiLevelType w:val="hybridMultilevel"/>
    <w:tmpl w:val="0000000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6">
    <w:nsid w:val="40F54567"/>
    <w:multiLevelType w:val="hybridMultilevel"/>
    <w:tmpl w:val="00000000"/>
    <w:lvl w:ilvl="0">
      <w:start w:val="1"/>
      <w:numFmt w:val="decimal"/>
      <w:lvlText w:val="%1)"/>
      <w:lvlJc w:val="left"/>
      <w:pPr>
        <w:tabs>
          <w:tab w:val="left" w:pos="720"/>
        </w:tabs>
        <w:ind w:left="720" w:hanging="360"/>
      </w:pPr>
    </w:lvl>
    <w:lvl w:ilvl="1">
      <w:start w:val="1"/>
      <w:numFmt w:val="bullet"/>
      <w:lvlText w:val=""/>
      <w:lvlJc w:val="left"/>
      <w:pPr>
        <w:tabs>
          <w:tab w:val="left" w:pos="1440"/>
        </w:tabs>
        <w:ind w:left="1440" w:hanging="360"/>
      </w:pPr>
      <w:rPr>
        <w:rFonts w:ascii="Symbol" w:hAnsi="Symbol"/>
        <w:b/>
        <w:i w:val="0"/>
        <w:color w:val="auto"/>
        <w:sz w:val="28"/>
      </w:r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7">
    <w:nsid w:val="434C7AC8"/>
    <w:multiLevelType w:val="hybridMultilevel"/>
    <w:tmpl w:val="00000000"/>
    <w:lvl w:ilvl="0">
      <w:start w:val="1"/>
      <w:numFmt w:val="bullet"/>
      <w:lvlText w:val=""/>
      <w:lvlJc w:val="left"/>
      <w:pPr>
        <w:ind w:left="1080" w:hanging="360"/>
      </w:pPr>
      <w:rPr>
        <w:rFonts w:ascii="Symbol" w:hAnsi="Symbol"/>
      </w:rPr>
    </w:lvl>
    <w:lvl w:ilvl="1">
      <w:start w:val="1"/>
      <w:numFmt w:val="bullet"/>
      <w:lvlText w:val="o"/>
      <w:lvlJc w:val="left"/>
      <w:pPr>
        <w:ind w:left="1800" w:hanging="360"/>
      </w:pPr>
      <w:rPr>
        <w:rFonts w:ascii="Courier New" w:hAnsi="Courier New"/>
      </w:rPr>
    </w:lvl>
    <w:lvl w:ilvl="2">
      <w:start w:val="1"/>
      <w:numFmt w:val="bullet"/>
      <w:lvlText w:val=""/>
      <w:lvlJc w:val="left"/>
      <w:pPr>
        <w:ind w:left="2520" w:hanging="360"/>
      </w:pPr>
      <w:rPr>
        <w:rFonts w:ascii="Wingdings" w:hAnsi="Wingdings"/>
      </w:rPr>
    </w:lvl>
    <w:lvl w:ilvl="3">
      <w:start w:val="1"/>
      <w:numFmt w:val="bullet"/>
      <w:lvlText w:val=""/>
      <w:lvlJc w:val="left"/>
      <w:pPr>
        <w:ind w:left="3240" w:hanging="360"/>
      </w:pPr>
      <w:rPr>
        <w:rFonts w:ascii="Symbol" w:hAnsi="Symbol"/>
      </w:rPr>
    </w:lvl>
    <w:lvl w:ilvl="4">
      <w:start w:val="1"/>
      <w:numFmt w:val="bullet"/>
      <w:lvlText w:val="o"/>
      <w:lvlJc w:val="left"/>
      <w:pPr>
        <w:ind w:left="3960" w:hanging="360"/>
      </w:pPr>
      <w:rPr>
        <w:rFonts w:ascii="Courier New" w:hAnsi="Courier New"/>
      </w:rPr>
    </w:lvl>
    <w:lvl w:ilvl="5">
      <w:start w:val="1"/>
      <w:numFmt w:val="bullet"/>
      <w:lvlText w:val=""/>
      <w:lvlJc w:val="left"/>
      <w:pPr>
        <w:ind w:left="4680" w:hanging="360"/>
      </w:pPr>
      <w:rPr>
        <w:rFonts w:ascii="Wingdings" w:hAnsi="Wingdings"/>
      </w:rPr>
    </w:lvl>
    <w:lvl w:ilvl="6">
      <w:start w:val="1"/>
      <w:numFmt w:val="bullet"/>
      <w:lvlText w:val=""/>
      <w:lvlJc w:val="left"/>
      <w:pPr>
        <w:ind w:left="5400" w:hanging="360"/>
      </w:pPr>
      <w:rPr>
        <w:rFonts w:ascii="Symbol" w:hAnsi="Symbol"/>
      </w:rPr>
    </w:lvl>
    <w:lvl w:ilvl="7">
      <w:start w:val="1"/>
      <w:numFmt w:val="bullet"/>
      <w:lvlText w:val="o"/>
      <w:lvlJc w:val="left"/>
      <w:pPr>
        <w:ind w:left="6120" w:hanging="360"/>
      </w:pPr>
      <w:rPr>
        <w:rFonts w:ascii="Courier New" w:hAnsi="Courier New"/>
      </w:rPr>
    </w:lvl>
    <w:lvl w:ilvl="8">
      <w:start w:val="1"/>
      <w:numFmt w:val="bullet"/>
      <w:lvlText w:val=""/>
      <w:lvlJc w:val="left"/>
      <w:pPr>
        <w:ind w:left="6840" w:hanging="360"/>
      </w:pPr>
      <w:rPr>
        <w:rFonts w:ascii="Wingdings" w:hAnsi="Wingdings"/>
      </w:rPr>
    </w:lvl>
  </w:abstractNum>
  <w:abstractNum w:abstractNumId="8">
    <w:nsid w:val="52C75D61"/>
    <w:multiLevelType w:val="hybridMultilevel"/>
    <w:tmpl w:val="00000000"/>
    <w:lvl w:ilvl="0">
      <w:start w:val="1"/>
      <w:numFmt w:val="bullet"/>
      <w:lvlText w:val=""/>
      <w:lvlJc w:val="left"/>
      <w:pPr>
        <w:ind w:left="720" w:hanging="360"/>
      </w:pPr>
      <w:rPr>
        <w:rFonts w:ascii="Symbol" w:hAnsi="Symbol"/>
        <w:b/>
        <w:i w:val="0"/>
        <w:color w:val="auto"/>
        <w:sz w:val="28"/>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9">
    <w:nsid w:val="5D9B3ACC"/>
    <w:multiLevelType w:val="hybridMultilevel"/>
    <w:tmpl w:val="000000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5E040284"/>
    <w:multiLevelType w:val="hybridMultilevel"/>
    <w:tmpl w:val="00000000"/>
    <w:lvl w:ilvl="0">
      <w:start w:val="1"/>
      <w:numFmt w:val="bullet"/>
      <w:lvlText w:val=""/>
      <w:lvlJc w:val="left"/>
      <w:pPr>
        <w:ind w:left="1077" w:hanging="360"/>
      </w:pPr>
      <w:rPr>
        <w:rFonts w:ascii="Symbol" w:hAnsi="Symbol"/>
      </w:rPr>
    </w:lvl>
    <w:lvl w:ilvl="1">
      <w:start w:val="1"/>
      <w:numFmt w:val="bullet"/>
      <w:lvlText w:val="o"/>
      <w:lvlJc w:val="left"/>
      <w:pPr>
        <w:ind w:left="1797" w:hanging="360"/>
      </w:pPr>
      <w:rPr>
        <w:rFonts w:ascii="Courier New" w:hAnsi="Courier New"/>
      </w:rPr>
    </w:lvl>
    <w:lvl w:ilvl="2">
      <w:start w:val="1"/>
      <w:numFmt w:val="bullet"/>
      <w:lvlText w:val=""/>
      <w:lvlJc w:val="left"/>
      <w:pPr>
        <w:ind w:left="2517" w:hanging="360"/>
      </w:pPr>
      <w:rPr>
        <w:rFonts w:ascii="Wingdings" w:hAnsi="Wingdings"/>
      </w:rPr>
    </w:lvl>
    <w:lvl w:ilvl="3">
      <w:start w:val="1"/>
      <w:numFmt w:val="bullet"/>
      <w:lvlText w:val=""/>
      <w:lvlJc w:val="left"/>
      <w:pPr>
        <w:ind w:left="3237" w:hanging="360"/>
      </w:pPr>
      <w:rPr>
        <w:rFonts w:ascii="Symbol" w:hAnsi="Symbol"/>
      </w:rPr>
    </w:lvl>
    <w:lvl w:ilvl="4">
      <w:start w:val="1"/>
      <w:numFmt w:val="bullet"/>
      <w:lvlText w:val="o"/>
      <w:lvlJc w:val="left"/>
      <w:pPr>
        <w:ind w:left="3957" w:hanging="360"/>
      </w:pPr>
      <w:rPr>
        <w:rFonts w:ascii="Courier New" w:hAnsi="Courier New"/>
      </w:rPr>
    </w:lvl>
    <w:lvl w:ilvl="5">
      <w:start w:val="1"/>
      <w:numFmt w:val="bullet"/>
      <w:lvlText w:val=""/>
      <w:lvlJc w:val="left"/>
      <w:pPr>
        <w:ind w:left="4677" w:hanging="360"/>
      </w:pPr>
      <w:rPr>
        <w:rFonts w:ascii="Wingdings" w:hAnsi="Wingdings"/>
      </w:rPr>
    </w:lvl>
    <w:lvl w:ilvl="6">
      <w:start w:val="1"/>
      <w:numFmt w:val="bullet"/>
      <w:lvlText w:val=""/>
      <w:lvlJc w:val="left"/>
      <w:pPr>
        <w:ind w:left="5397" w:hanging="360"/>
      </w:pPr>
      <w:rPr>
        <w:rFonts w:ascii="Symbol" w:hAnsi="Symbol"/>
      </w:rPr>
    </w:lvl>
    <w:lvl w:ilvl="7">
      <w:start w:val="1"/>
      <w:numFmt w:val="bullet"/>
      <w:lvlText w:val="o"/>
      <w:lvlJc w:val="left"/>
      <w:pPr>
        <w:ind w:left="6117" w:hanging="360"/>
      </w:pPr>
      <w:rPr>
        <w:rFonts w:ascii="Courier New" w:hAnsi="Courier New"/>
      </w:rPr>
    </w:lvl>
    <w:lvl w:ilvl="8">
      <w:start w:val="1"/>
      <w:numFmt w:val="bullet"/>
      <w:lvlText w:val=""/>
      <w:lvlJc w:val="left"/>
      <w:pPr>
        <w:ind w:left="6837" w:hanging="360"/>
      </w:pPr>
      <w:rPr>
        <w:rFonts w:ascii="Wingdings" w:hAnsi="Wingdings"/>
      </w:rPr>
    </w:lvl>
  </w:abstractNum>
  <w:abstractNum w:abstractNumId="11">
    <w:nsid w:val="5ECA45F9"/>
    <w:multiLevelType w:val="hybridMultilevel"/>
    <w:tmpl w:val="000000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5FCD144B"/>
    <w:multiLevelType w:val="hybridMultilevel"/>
    <w:tmpl w:val="00000000"/>
    <w:lvl w:ilvl="0">
      <w:start w:val="1"/>
      <w:numFmt w:val="decimal"/>
      <w:lvlText w:val="%1."/>
      <w:lvlJc w:val="left"/>
      <w:pPr>
        <w:ind w:left="720" w:hanging="360"/>
      </w:pPr>
    </w:lvl>
    <w:lvl w:ilvl="1">
      <w:start w:val="1"/>
      <w:numFmt w:val="bullet"/>
      <w:lvlText w:val=""/>
      <w:lvlJc w:val="left"/>
      <w:pPr>
        <w:ind w:left="1440" w:hanging="360"/>
      </w:pPr>
      <w:rPr>
        <w:rFonts w:ascii="Symbol" w:hAnsi="Symbol"/>
      </w:rPr>
    </w:lvl>
    <w:lvl w:ilvl="2">
      <w:start w:val="394"/>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62CF59FA"/>
    <w:multiLevelType w:val="hybridMultilevel"/>
    <w:tmpl w:val="00000000"/>
    <w:lvl w:ilvl="0">
      <w:start w:val="1"/>
      <w:numFmt w:val="decimal"/>
      <w:lvlText w:val="%1."/>
      <w:lvlJc w:val="left"/>
      <w:pPr>
        <w:ind w:left="720" w:hanging="360"/>
      </w:pPr>
      <w:rPr>
        <w:rFonts w:ascii="Arial" w:hAnsi="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64013490"/>
    <w:multiLevelType w:val="hybridMultilevel"/>
    <w:tmpl w:val="00000000"/>
    <w:lvl w:ilvl="0">
      <w:start w:val="1"/>
      <w:numFmt w:val="bullet"/>
      <w:lvlText w:val=""/>
      <w:lvlJc w:val="left"/>
      <w:pPr>
        <w:ind w:left="720" w:hanging="360"/>
      </w:pPr>
      <w:rPr>
        <w:rFonts w:ascii="Symbol" w:hAnsi="Symbol"/>
        <w:b/>
      </w:rPr>
    </w:lvl>
    <w:lvl w:ilvl="1">
      <w:start w:val="1"/>
      <w:numFmt w:val="bullet"/>
      <w:lvlText w:val=""/>
      <w:lvlJc w:val="left"/>
      <w:pPr>
        <w:ind w:left="1440" w:hanging="360"/>
      </w:pPr>
      <w:rPr>
        <w:rFonts w:ascii="Wingdings" w:hAnsi="Wingdings"/>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5">
    <w:nsid w:val="6B8C2542"/>
    <w:multiLevelType w:val="hybridMultilevel"/>
    <w:tmpl w:val="00000000"/>
    <w:lvl w:ilvl="0">
      <w:start w:val="1"/>
      <w:numFmt w:val="bullet"/>
      <w:lvlText w:val=""/>
      <w:lvlJc w:val="left"/>
      <w:pPr>
        <w:ind w:left="1713" w:hanging="360"/>
      </w:pPr>
      <w:rPr>
        <w:rFonts w:ascii="Symbol" w:hAnsi="Symbol"/>
      </w:rPr>
    </w:lvl>
    <w:lvl w:ilvl="1">
      <w:start w:val="1"/>
      <w:numFmt w:val="bullet"/>
      <w:lvlText w:val="o"/>
      <w:lvlJc w:val="left"/>
      <w:pPr>
        <w:ind w:left="2433" w:hanging="360"/>
      </w:pPr>
      <w:rPr>
        <w:rFonts w:ascii="Courier New" w:hAnsi="Courier New"/>
      </w:rPr>
    </w:lvl>
    <w:lvl w:ilvl="2">
      <w:start w:val="1"/>
      <w:numFmt w:val="bullet"/>
      <w:lvlText w:val=""/>
      <w:lvlJc w:val="left"/>
      <w:pPr>
        <w:ind w:left="3153" w:hanging="360"/>
      </w:pPr>
      <w:rPr>
        <w:rFonts w:ascii="Wingdings" w:hAnsi="Wingdings"/>
      </w:rPr>
    </w:lvl>
    <w:lvl w:ilvl="3">
      <w:start w:val="1"/>
      <w:numFmt w:val="bullet"/>
      <w:lvlText w:val=""/>
      <w:lvlJc w:val="left"/>
      <w:pPr>
        <w:ind w:left="3873" w:hanging="360"/>
      </w:pPr>
      <w:rPr>
        <w:rFonts w:ascii="Symbol" w:hAnsi="Symbol"/>
      </w:rPr>
    </w:lvl>
    <w:lvl w:ilvl="4">
      <w:start w:val="1"/>
      <w:numFmt w:val="bullet"/>
      <w:lvlText w:val="o"/>
      <w:lvlJc w:val="left"/>
      <w:pPr>
        <w:ind w:left="4593" w:hanging="360"/>
      </w:pPr>
      <w:rPr>
        <w:rFonts w:ascii="Courier New" w:hAnsi="Courier New"/>
      </w:rPr>
    </w:lvl>
    <w:lvl w:ilvl="5">
      <w:start w:val="1"/>
      <w:numFmt w:val="bullet"/>
      <w:lvlText w:val=""/>
      <w:lvlJc w:val="left"/>
      <w:pPr>
        <w:ind w:left="5313" w:hanging="360"/>
      </w:pPr>
      <w:rPr>
        <w:rFonts w:ascii="Wingdings" w:hAnsi="Wingdings"/>
      </w:rPr>
    </w:lvl>
    <w:lvl w:ilvl="6">
      <w:start w:val="1"/>
      <w:numFmt w:val="bullet"/>
      <w:lvlText w:val=""/>
      <w:lvlJc w:val="left"/>
      <w:pPr>
        <w:ind w:left="6033" w:hanging="360"/>
      </w:pPr>
      <w:rPr>
        <w:rFonts w:ascii="Symbol" w:hAnsi="Symbol"/>
      </w:rPr>
    </w:lvl>
    <w:lvl w:ilvl="7">
      <w:start w:val="1"/>
      <w:numFmt w:val="bullet"/>
      <w:lvlText w:val="o"/>
      <w:lvlJc w:val="left"/>
      <w:pPr>
        <w:ind w:left="6753" w:hanging="360"/>
      </w:pPr>
      <w:rPr>
        <w:rFonts w:ascii="Courier New" w:hAnsi="Courier New"/>
      </w:rPr>
    </w:lvl>
    <w:lvl w:ilvl="8">
      <w:start w:val="1"/>
      <w:numFmt w:val="bullet"/>
      <w:lvlText w:val=""/>
      <w:lvlJc w:val="left"/>
      <w:pPr>
        <w:ind w:left="7473" w:hanging="360"/>
      </w:pPr>
      <w:rPr>
        <w:rFonts w:ascii="Wingdings" w:hAnsi="Wingdings"/>
      </w:rPr>
    </w:lvl>
  </w:abstractNum>
  <w:abstractNum w:abstractNumId="16">
    <w:nsid w:val="7C510A3A"/>
    <w:multiLevelType w:val="hybridMultilevel"/>
    <w:tmpl w:val="00000000"/>
    <w:lvl w:ilvl="0">
      <w:start w:val="1"/>
      <w:numFmt w:val="bullet"/>
      <w:lvlText w:val=""/>
      <w:lvlJc w:val="left"/>
      <w:pPr>
        <w:tabs>
          <w:tab w:val="left" w:pos="1191"/>
        </w:tabs>
        <w:ind w:left="1191" w:hanging="397"/>
      </w:pPr>
      <w:rPr>
        <w:rFonts w:ascii="Symbol" w:hAnsi="Symbol"/>
        <w:color w:val="auto"/>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num w:numId="1">
    <w:abstractNumId w:val="10"/>
  </w:num>
  <w:num w:numId="2">
    <w:abstractNumId w:val="5"/>
  </w:num>
  <w:num w:numId="3">
    <w:abstractNumId w:val="14"/>
  </w:num>
  <w:num w:numId="4">
    <w:abstractNumId w:val="3"/>
  </w:num>
  <w:num w:numId="5">
    <w:abstractNumId w:val="6"/>
  </w:num>
  <w:num w:numId="6">
    <w:abstractNumId w:val="8"/>
  </w:num>
  <w:num w:numId="7">
    <w:abstractNumId w:val="16"/>
  </w:num>
  <w:num w:numId="8">
    <w:abstractNumId w:val="1"/>
  </w:num>
  <w:num w:numId="9">
    <w:abstractNumId w:val="7"/>
  </w:num>
  <w:num w:numId="10">
    <w:abstractNumId w:val="2"/>
  </w:num>
  <w:num w:numId="11">
    <w:abstractNumId w:val="12"/>
  </w:num>
  <w:num w:numId="12">
    <w:abstractNumId w:val="15"/>
  </w:num>
  <w:num w:numId="13">
    <w:abstractNumId w:val="13"/>
  </w:num>
  <w:num w:numId="14">
    <w:abstractNumId w:val="11"/>
  </w:num>
  <w:num w:numId="15">
    <w:abstractNumId w:val="9"/>
  </w:num>
  <w:num w:numId="16">
    <w:abstractNumId w:val="0"/>
  </w:num>
  <w:num w:numId="1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footnotePr>
    <w:footnote w:id="0"/>
    <w:footnote w:id="1"/>
  </w:footnotePr>
  <w:endnotePr>
    <w:numFmt w:val="decimal"/>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pl-P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jc w:val="left"/>
    </w:pPr>
    <w:rPr>
      <w:rFonts w:ascii="Arial" w:eastAsia="Arial" w:hAnsi="Arial" w:cs="Arial"/>
      <w:sz w:val="24"/>
      <w:szCs w:val="24"/>
      <w:lang w:val="pl-PL" w:eastAsia="pl-PL" w:bidi="pl-PL"/>
    </w:rPr>
  </w:style>
  <w:style w:type="paragraph" w:styleId="Heading1">
    <w:name w:val="heading 1"/>
    <w:basedOn w:val="Normal"/>
    <w:next w:val="Normal"/>
    <w:qFormat/>
    <w:pPr>
      <w:keepNext/>
      <w:jc w:val="center"/>
      <w:outlineLvl w:val="0"/>
    </w:pPr>
    <w:rPr>
      <w:rFonts w:ascii="Times New Roman" w:eastAsia="Times New Roman" w:hAnsi="Times New Roman" w:cs="Times New Roman"/>
      <w:b/>
      <w:szCs w:val="20"/>
      <w:lang w:bidi="ar-SA"/>
    </w:rPr>
  </w:style>
  <w:style w:type="paragraph" w:styleId="Heading5">
    <w:name w:val="heading 5"/>
    <w:basedOn w:val="Normal"/>
    <w:next w:val="Normal"/>
    <w:qFormat/>
    <w:pPr>
      <w:keepNext/>
      <w:ind w:left="125"/>
      <w:outlineLvl w:val="4"/>
    </w:pPr>
    <w:rPr>
      <w:rFonts w:eastAsia="Times New Roman" w:cs="Times New Roman"/>
      <w:b/>
      <w:szCs w:val="20"/>
      <w:lang w:bidi="ar-SA"/>
    </w:rPr>
  </w:style>
  <w:style w:type="character" w:default="1" w:styleId="DefaultParagraphFont">
    <w:name w:val="Default Paragraph Font"/>
    <w:semiHidden/>
    <w:rPr>
      <w:lang w:val="pl-PL" w:eastAsia="pl-PL" w:bidi="pl-PL"/>
    </w:rPr>
  </w:style>
  <w:style w:type="table" w:default="1" w:styleId="TableNormal">
    <w:name w:val="Normal Table"/>
    <w:semiHidden/>
    <w:rPr>
      <w:lang w:val="pl-PL" w:eastAsia="pl-PL" w:bidi="pl-PL"/>
    </w:rPr>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basedOn w:val="DefaultParagraphFont"/>
    <w:rsid w:val="00EF7B96"/>
    <w:rPr>
      <w:color w:val="0000FF"/>
      <w:u w:val="single"/>
    </w:rPr>
  </w:style>
  <w:style w:type="character" w:styleId="PageNumber">
    <w:name w:val="page number"/>
    <w:basedOn w:val="DefaultParagraphFont"/>
    <w:semiHidden/>
  </w:style>
  <w:style w:type="paragraph" w:styleId="Footer">
    <w:name w:val="footer"/>
    <w:basedOn w:val="Normal"/>
    <w:link w:val="StopkaZnak"/>
    <w:pPr>
      <w:tabs>
        <w:tab w:val="center" w:pos="4536"/>
        <w:tab w:val="right" w:pos="9072"/>
      </w:tabs>
    </w:pPr>
    <w:rPr>
      <w:rFonts w:ascii="Times New Roman" w:eastAsia="Times New Roman" w:hAnsi="Times New Roman" w:cs="Times New Roman"/>
      <w:szCs w:val="20"/>
      <w:lang w:bidi="ar-SA"/>
    </w:rPr>
  </w:style>
  <w:style w:type="character" w:customStyle="1" w:styleId="StopkaZnak">
    <w:name w:val="Stopka Znak"/>
    <w:basedOn w:val="DefaultParagraphFont"/>
    <w:link w:val="Footer"/>
    <w:rPr>
      <w:lang w:bidi="ar-SA"/>
    </w:rPr>
  </w:style>
  <w:style w:type="paragraph" w:styleId="BodyText">
    <w:name w:val="Body Text"/>
    <w:basedOn w:val="Normal"/>
    <w:link w:val="TekstpodstawowyZnak"/>
    <w:semiHidden/>
    <w:pPr>
      <w:spacing w:line="480" w:lineRule="auto"/>
      <w:jc w:val="both"/>
    </w:pPr>
    <w:rPr>
      <w:rFonts w:ascii="Times New Roman" w:eastAsia="Times New Roman" w:hAnsi="Times New Roman" w:cs="Times New Roman"/>
      <w:szCs w:val="20"/>
      <w:lang w:bidi="ar-SA"/>
    </w:rPr>
  </w:style>
  <w:style w:type="character" w:customStyle="1" w:styleId="TekstpodstawowyZnak">
    <w:name w:val="Tekst podstawowy Znak"/>
    <w:basedOn w:val="DefaultParagraphFont"/>
    <w:link w:val="BodyText"/>
    <w:semiHidden/>
    <w:rPr>
      <w:lang w:bidi="ar-SA"/>
    </w:rPr>
  </w:style>
  <w:style w:type="paragraph" w:styleId="ListParagraph">
    <w:name w:val="List Paragraph"/>
    <w:basedOn w:val="Normal"/>
    <w:qFormat/>
    <w:pPr>
      <w:ind w:left="708"/>
    </w:pPr>
    <w:rPr>
      <w:rFonts w:ascii="Times New Roman" w:eastAsia="Times New Roman" w:hAnsi="Times New Roman" w:cs="Times New Roman"/>
      <w:szCs w:val="20"/>
      <w:lang w:bidi="ar-SA"/>
    </w:rPr>
  </w:style>
  <w:style w:type="paragraph" w:styleId="BodyTextIndent2">
    <w:name w:val="Body Text Indent 2"/>
    <w:basedOn w:val="Normal"/>
    <w:semiHidden/>
    <w:pPr>
      <w:ind w:left="360"/>
      <w:jc w:val="both"/>
    </w:pPr>
    <w:rPr>
      <w:rFonts w:ascii="Times New Roman" w:eastAsia="Times New Roman" w:hAnsi="Times New Roman" w:cs="Times New Roman"/>
      <w:szCs w:val="20"/>
      <w:lang w:bidi="ar-SA"/>
    </w:rPr>
  </w:style>
  <w:style w:type="character" w:styleId="FootnoteReference">
    <w:name w:val="footnote reference"/>
    <w:basedOn w:val="DefaultParagraphFont"/>
    <w:semiHidden/>
    <w:rPr>
      <w:vertAlign w:val="superscript"/>
    </w:rPr>
  </w:style>
  <w:style w:type="paragraph" w:styleId="FootnoteText">
    <w:name w:val="footnote text"/>
    <w:basedOn w:val="Normal"/>
    <w:link w:val="TekstprzypisudolnegoZnak"/>
    <w:semiHidden/>
    <w:rPr>
      <w:rFonts w:ascii="Times New Roman" w:eastAsia="Times New Roman" w:hAnsi="Times New Roman" w:cs="Times New Roman"/>
      <w:sz w:val="20"/>
      <w:szCs w:val="20"/>
      <w:lang w:bidi="ar-SA"/>
    </w:rPr>
  </w:style>
  <w:style w:type="character" w:customStyle="1" w:styleId="TekstprzypisudolnegoZnak">
    <w:name w:val="Tekst przypisu dolnego Znak"/>
    <w:basedOn w:val="DefaultParagraphFont"/>
    <w:link w:val="FootnoteText"/>
    <w:semiHidden/>
    <w:rPr>
      <w:lang w:bidi="ar-SA"/>
    </w:rPr>
  </w:style>
  <w:style w:type="character" w:customStyle="1" w:styleId="text-center">
    <w:name w:val="text-center"/>
    <w:basedOn w:val="DefaultParagraphFont"/>
  </w:style>
  <w:style w:type="paragraph" w:styleId="NormalWeb">
    <w:name w:val="Normal (Web)"/>
    <w:basedOn w:val="Normal"/>
    <w:pPr>
      <w:spacing w:before="100" w:beforeAutospacing="1" w:after="100" w:afterAutospacing="1"/>
    </w:pPr>
    <w:rPr>
      <w:rFonts w:ascii="Arial Unicode MS" w:eastAsia="Times New Roman" w:hAnsi="Arial Unicode MS" w:cs="Times New Roman"/>
      <w:szCs w:val="20"/>
      <w:lang w:bidi="ar-SA"/>
    </w:rPr>
  </w:style>
  <w:style w:type="paragraph" w:styleId="BodyTextIndent3">
    <w:name w:val="Body Text Indent 3"/>
    <w:basedOn w:val="Normal"/>
    <w:semiHidden/>
    <w:pPr>
      <w:ind w:left="360"/>
      <w:jc w:val="both"/>
    </w:pPr>
    <w:rPr>
      <w:rFonts w:ascii="Times New Roman" w:eastAsia="Times New Roman" w:hAnsi="Times New Roman" w:cs="Times New Roman"/>
      <w:b/>
      <w:szCs w:val="20"/>
      <w:lang w:bidi="ar-SA"/>
    </w:rPr>
  </w:style>
  <w:style w:type="paragraph" w:customStyle="1" w:styleId="Default">
    <w:name w:val="Default"/>
    <w:rPr>
      <w:rFonts w:ascii="Arial" w:hAnsi="Arial"/>
      <w:color w:val="000000"/>
      <w:sz w:val="24"/>
      <w:lang w:bidi="ar-SA"/>
    </w:rPr>
  </w:style>
  <w:style w:type="paragraph" w:styleId="Header">
    <w:name w:val="header"/>
    <w:basedOn w:val="Normal"/>
    <w:link w:val="NagwekZnak"/>
    <w:pPr>
      <w:tabs>
        <w:tab w:val="center" w:pos="4536"/>
        <w:tab w:val="right" w:pos="9072"/>
      </w:tabs>
    </w:pPr>
    <w:rPr>
      <w:rFonts w:ascii="Times New Roman" w:eastAsia="Times New Roman" w:hAnsi="Times New Roman" w:cs="Times New Roman"/>
      <w:szCs w:val="20"/>
      <w:lang w:bidi="ar-SA"/>
    </w:rPr>
  </w:style>
  <w:style w:type="character" w:customStyle="1" w:styleId="NagwekZnak">
    <w:name w:val="Nagłówek Znak"/>
    <w:basedOn w:val="DefaultParagraphFont"/>
    <w:link w:val="Header"/>
    <w:rPr>
      <w:lang w:bidi="ar-SA"/>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sip.lex.pl/" TargetMode="Externa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footer" Target="footer1.xml" /><Relationship Id="rId6" Type="http://schemas.openxmlformats.org/officeDocument/2006/relationships/hyperlink" Target="Zalacznik1.pdf" TargetMode="Externa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hyperlink" Target="https://www.gov.pl/web/finanse/kwoty-dochodow-jednostek-samorzadu-terytorialnego-na-rok-2026-potrzeby-finansowe-podlegajace-sfinansowaniu-oraz-szczegolowe-dane-wykorzystane-do-ich-obliczenia" TargetMode="External" /></Relationships>
</file>

<file path=word/theme/theme1.xml><?xml version="1.0" encoding="utf-8"?>
<a:theme xmlns:a="http://schemas.openxmlformats.org/drawingml/2006/main" name="Motyw pakietu Office">
  <a:themeElements>
    <a:clrScheme name="Pakiet Office">
      <a:dk1>
        <a:sysClr val="windowText"/>
      </a:dk1>
      <a:lt1>
        <a:sysClr val="window"/>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Rada Miejska w Bytomiu</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XXVI/223/25 z dnia 15 grudnia 2025 r.</dc:title>
  <dc:subject>w sprawie wieloletniej prognozy finansowej miasta Bytomia na lata 2026-2046</dc:subject>
  <dc:creator>asteuer</dc:creator>
  <cp:lastModifiedBy>asteuer</cp:lastModifiedBy>
  <cp:revision>1</cp:revision>
  <dcterms:created xsi:type="dcterms:W3CDTF">2025-12-18T15:10:43Z</dcterms:created>
  <dcterms:modified xsi:type="dcterms:W3CDTF">2025-12-18T15:10:43Z</dcterms:modified>
  <cp:category>Akt prawny</cp:category>
</cp:coreProperties>
</file>