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XXVIII/247/26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12 lutego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467"/>
        <w:gridCol w:w="405"/>
        <w:gridCol w:w="1650"/>
        <w:gridCol w:w="1560"/>
      </w:tblGrid>
      <w:tr>
        <w:tblPrEx>
          <w:tblW w:w="5000" w:type="pct"/>
          <w:tblLayout w:type="fixed"/>
        </w:tblPrEx>
        <w:trPr>
          <w:trHeight w:val="45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510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10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60017 – Drogi wewnętrzne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510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70007 – Gospodarowanie mieszkaniowym zasobem gminy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73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90001 – Gospodarka ściekowa i ochrona wód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90015 – Oświetlenie ulic, placów i dróg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510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10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851 – Ochrona zdrowia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85111 – Szpitale ogólne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wydatków w związku z koniecznością pokrycia części ujemnego wyniku finansowego Szpitala Specjalistycznego nr 1 za 2022 rok w Wydziale Polityki Społecznej.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83153DD2-50CE-4788-BFDD-C9CC89C614B7.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83153DD2-50CE-4788-BFDD-C9CC89C614B7.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XXVIII/247/26 z dnia 12 lutego 2026 r.</dc:title>
  <dc:subject>zmieniająca uchwałę budżetową miasta Bytomia na 2026^rok</dc:subject>
  <dc:creator>masocha</dc:creator>
  <cp:lastModifiedBy>masocha</cp:lastModifiedBy>
  <cp:revision>1</cp:revision>
  <dcterms:created xsi:type="dcterms:W3CDTF">2026-02-16T12:43:50Z</dcterms:created>
  <dcterms:modified xsi:type="dcterms:W3CDTF">2026-02-16T12:43:50Z</dcterms:modified>
  <cp:category>Akt prawny</cp:category>
</cp:coreProperties>
</file>