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XXIV/220/25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24 listopada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stanowiska Rady Miejskiej dotyczącego skargi na działalność Dyrektora Szkoły Podstawowej nr 33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572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Uznaje się za bezzasadną skargę na działalność Dyrektora Szkoły Podstawowej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33.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posiedzeniach w dniach 20 października 2025 r. oraz 17 listopada 2025 r. rozpatrywała skargę z dnia 13 października 2025 r. złożoną przez Panią N.O., którą Komisja zakwalifikowała jako skargę na działalność Dyrektora Szkoły Podstawowej nr 33.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zapoznaniu się z dokumentacją skargi oraz otrzymanymi wyjaśnieniami, Komisja Skarg, Wniosków i Petycji Rady Miejskiej w Bytomiu stwierdza, że skargę Pani N.O. na działalność Dyrektora Szkoły Podstawowej nr 33 należy uznać za 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Kontrola doraźna przeprowadzona przez Kuratorium Oświaty w Katowicach jako organu sprawującego nadzór pedagogiczny nad Szkołą Podstawową nr 33 w związku ze skargą rodzica ucznia klasy pierwszej na brak zapewnienia dziecku bezpieczeństwa podczas trwania przerwy międzylekcyjnej oraz realizacji kształcenia specjalnego nie wykazała żadnych nieprawidłowości.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 przeprowadzonych czynności kontrolnych wynika, że uczniowi zapewniono realizację kształcenia specjalnego zgodnie z obowiązującymi przepisami o pomocy psychologiczno-pedagogicznej, szkoła zapewnia uczniom bezpieczne i higieniczne warunki nauki, dyrektor wraz z nauczycielami podjął odpowiednie działania w związku z incydentem konfliktu rówieśniczego zaistniałym pomiędzy uczniami klas pierwszych. W ramach działań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prewencyjnych podjęto decyzję o monitorowaniu sytuacji ucznia w klasie i zorganizowano profilaktyczne zajęcia dotyczące umiejętności rozwiązywania konfliktów.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 uznaje skargę Pani N.O. na działalność Dyrektora Szkoły Podstawowej nr 33 za bezzasadną.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BAEB142D-4779-4E08-BFA7-F79F2811F47D.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BAEB142D-4779-4E08-BFA7-F79F2811F47D.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XXIV/220/25 z dnia 24 listopada 2025 r.</dc:title>
  <dc:subject>w sprawie stanowiska Rady Miejskiej dotyczącego skargi na działalność Dyrektora^Szkoły Podstawowej nr 33</dc:subject>
  <dc:creator>asteuer</dc:creator>
  <cp:lastModifiedBy>asteuer</cp:lastModifiedBy>
  <cp:revision>1</cp:revision>
  <dcterms:created xsi:type="dcterms:W3CDTF">2025-11-26T11:46:29Z</dcterms:created>
  <dcterms:modified xsi:type="dcterms:W3CDTF">2025-11-26T11:46:29Z</dcterms:modified>
  <cp:category>Akt prawny</cp:category>
</cp:coreProperties>
</file>