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XXIV/219/25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24 listopada 2025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przekazania petycji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572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uznaje się za organ niewłaściwy do rozpatrzenia petycji Pani A.K.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uchwalenia zakazu używania dmuchaw do liści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przekazuje petycję Marszałkowi Województwa Śląskiego do rozpatrzenia według właściwości.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zobowiązując do przekazania petycji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zawiadomienia wnoszącego petycję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jej przekazaniu.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posiedzeniach w dniach 20 października 2025 roku i 17 listopada 2025 roku rozpatrywała petycję Pani A.K. w sprawie uchwalenia zakazu używania dmuchaw do liści.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po analizie treści petycji, wysłuchaniu opinii prawnej i dyskusji uznała, iż Rada Miejska nie jest organem właściwym do rozpatrzenia ww. petycji i należy ją przekazać Marszałkowi Województwa Śląskiego do rozpatrzenia według właściwości, zgodnie z art. 6 ust.1 ustawy z dnia 11 lipca 2014 roku o petycjach (Dz.U. z 2018 r. poz.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870). Uregulowania dotyczące zakazu używania dmuchaw zawierane są w Programach Ochrony Powietrza uchwalanych przez sejmiki wojewódzkie celem ograniczenia tzw. wtórnej emisji pyłów, które negatywnie wpływają na jakość powietrza i zdrowie mieszkańców.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Petycji, uznaje się za organ niewłaściwy do rozpatrzenia petycji i przekazuje petycję Marszałkowi Województwa Śląskiego do rozpatrzenia według właściwości.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 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B4F82CD8-C0F1-4033-B40C-9590771B9B7B.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B4F82CD8-C0F1-4033-B40C-9590771B9B7B.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XXIV/219/25 z dnia 24 listopada 2025 r.</dc:title>
  <dc:subject>w sprawie przekazania petycji</dc:subject>
  <dc:creator>asteuer</dc:creator>
  <cp:lastModifiedBy>asteuer</cp:lastModifiedBy>
  <cp:revision>1</cp:revision>
  <dcterms:created xsi:type="dcterms:W3CDTF">2025-11-26T11:45:15Z</dcterms:created>
  <dcterms:modified xsi:type="dcterms:W3CDTF">2025-11-26T11:45:15Z</dcterms:modified>
  <cp:category>Akt prawny</cp:category>
</cp:coreProperties>
</file>