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XXIV/214/25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24 listopada 2025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określenia wysokości stawek podatku od nieruchomości na terenie miasta Bytomia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stycznia 1991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podatkach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opłatach lokalnych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707),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ogłaszaniu aktów normatywnych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niektórych innych aktów 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1461) uchwala się, co następuje:</w:t>
      </w:r>
    </w:p>
    <w:p w:rsidR="00A77B3E">
      <w:pPr>
        <w:keepNext/>
        <w:keepLines w:val="0"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Określa się roczne stawki podatku od nieruchomości:</w:t>
      </w:r>
    </w:p>
    <w:p w:rsidR="00A77B3E">
      <w:pPr>
        <w:keepNext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od budynków lub ich części: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450"/>
        <w:gridCol w:w="8507"/>
        <w:gridCol w:w="112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6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a)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mieszkalnych – od 1</w:t>
            </w:r>
            <w:r>
              <w:t> </w:t>
            </w:r>
            <w:r>
              <w:t>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1,24</w:t>
            </w:r>
            <w:r>
              <w:t> </w:t>
            </w:r>
            <w:r>
              <w:t>zł,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95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b)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związanych z</w:t>
            </w:r>
            <w:r>
              <w:t> </w:t>
            </w:r>
            <w:r>
              <w:t>prowadzeniem działalności gospodarczej oraz od</w:t>
            </w:r>
            <w:r>
              <w:t> </w:t>
            </w:r>
            <w:r>
              <w:t>budynków mieszkalnych lub ich części zajętych na prowadzenie działalności</w:t>
            </w:r>
            <w:r>
              <w:t> </w:t>
            </w:r>
            <w:r>
              <w:t>gospodarczej – od 1</w:t>
            </w:r>
            <w:r>
              <w:t> </w:t>
            </w:r>
            <w:r>
              <w:t>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35,39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zł,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c)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zajętych na prowadzenie działalności gospodarczej w</w:t>
            </w:r>
            <w:r>
              <w:t> </w:t>
            </w:r>
            <w:r>
              <w:t>zakresie obrotu kwalifikowanym materiałem siewnym – od 1</w:t>
            </w:r>
            <w:r>
              <w:t> </w:t>
            </w:r>
            <w:r>
              <w:t>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16,57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zł,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79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związanych z</w:t>
            </w:r>
            <w:r>
              <w:t> </w:t>
            </w:r>
            <w:r>
              <w:t>udzielaniem świadczeń zdrowotnych w</w:t>
            </w:r>
            <w:r>
              <w:t> </w:t>
            </w:r>
            <w:r>
              <w:t>rozumieniu przepisów o</w:t>
            </w:r>
            <w:r>
              <w:t> </w:t>
            </w:r>
            <w:r>
              <w:t>działalności leczniczej, zajętych przez podmioty udzielające tych świadczeń</w:t>
            </w:r>
          </w:p>
          <w:p>
            <w:pPr>
              <w:jc w:val="left"/>
            </w:pPr>
            <w:r>
              <w:t>– od 1</w:t>
            </w:r>
            <w:r>
              <w:t> </w:t>
            </w:r>
            <w:r>
              <w:t>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7,23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zł,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e)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pozostałych, w tym zajętych na prowadzenie odpłatnej statutowej działalności pożytku publicznego przez organizacje pożytku publicznego – od 1</w:t>
            </w:r>
            <w:r>
              <w:t> </w:t>
            </w:r>
            <w:r>
              <w:t>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  <w:p/>
          <w:p>
            <w:pPr>
              <w:jc w:val="right"/>
            </w:pPr>
            <w:r>
              <w:t>11,95</w:t>
            </w:r>
            <w:r>
              <w:t> </w:t>
            </w:r>
            <w:r>
              <w:t>zł;</w:t>
            </w:r>
          </w:p>
        </w:tc>
      </w:tr>
    </w:tbl>
    <w:p w:rsidR="00A77B3E">
      <w:pPr>
        <w:keepNext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od budowli: 2% wartości określonej na podstawie 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pkt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–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podatkach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opłatach lokalnych;</w:t>
      </w:r>
    </w:p>
    <w:p w:rsidR="00A77B3E">
      <w:pPr>
        <w:keepNext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od gruntów: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465"/>
        <w:gridCol w:w="8567"/>
        <w:gridCol w:w="105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a)</w:t>
            </w:r>
          </w:p>
        </w:tc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związanych z</w:t>
            </w:r>
            <w:r>
              <w:t> </w:t>
            </w:r>
            <w:r>
              <w:t>prowadzeniem działalności gospodarczej, bez względu na sposób zakwalifikowania w</w:t>
            </w:r>
            <w:r>
              <w:t> </w:t>
            </w:r>
            <w:r>
              <w:t>ewidencji gruntów i</w:t>
            </w:r>
            <w:r>
              <w:t> </w:t>
            </w:r>
            <w:r>
              <w:t>budynków – od 1</w:t>
            </w:r>
            <w:r>
              <w:t> </w:t>
            </w:r>
            <w:r>
              <w:t>m² powierzchni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1,44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zł,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b)</w:t>
            </w:r>
          </w:p>
        </w:tc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pod wodami powierzchniowymi stojącymi lub wodami powierzchniowymi płynącymi jezior i</w:t>
            </w:r>
            <w:r>
              <w:t> </w:t>
            </w:r>
            <w:r>
              <w:t>zbiorników sztucznych –</w:t>
            </w:r>
            <w:r>
              <w:t> </w:t>
            </w:r>
            <w:r>
              <w:t>od</w:t>
            </w:r>
            <w:r>
              <w:t> </w:t>
            </w:r>
            <w:r>
              <w:t>1</w:t>
            </w:r>
            <w:r>
              <w:t> </w:t>
            </w:r>
            <w:r>
              <w:t>ha powierzchni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7,12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zł,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c)</w:t>
            </w:r>
          </w:p>
        </w:tc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pozostałych, w</w:t>
            </w:r>
            <w:r>
              <w:t> </w:t>
            </w:r>
            <w:r>
              <w:t>tym zajętych na prowadzenie odpłatnej statutowej działalności pożytku publicznego przez organizacje pożytku publicznego – od 1</w:t>
            </w:r>
            <w:r>
              <w:t> </w:t>
            </w:r>
            <w:r>
              <w:t>m² powierzchni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  <w:p/>
          <w:p>
            <w:pPr>
              <w:jc w:val="right"/>
            </w:pPr>
            <w:r>
              <w:t>0,76</w:t>
            </w:r>
            <w:r>
              <w:t> </w:t>
            </w:r>
            <w:r>
              <w:t>zł,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641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d)</w:t>
            </w:r>
          </w:p>
        </w:tc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niezabudowanych objętych obszarem rewitalizacji, o</w:t>
            </w:r>
            <w:r>
              <w:t> </w:t>
            </w:r>
            <w:r>
              <w:t>którym mowa w</w:t>
            </w:r>
            <w:r>
              <w:t> </w:t>
            </w:r>
            <w:r>
              <w:t>ustawie z</w:t>
            </w:r>
            <w:r>
              <w:t> </w:t>
            </w:r>
            <w:r>
              <w:t>dnia 9</w:t>
            </w:r>
            <w:r>
              <w:t> </w:t>
            </w:r>
            <w:r>
              <w:t>października 2015</w:t>
            </w:r>
            <w:r>
              <w:t> </w:t>
            </w:r>
            <w:r>
              <w:t>r. o</w:t>
            </w:r>
            <w:r>
              <w:t> </w:t>
            </w:r>
            <w:r>
              <w:t>rewitalizacji (Dz.</w:t>
            </w:r>
            <w:r>
              <w:t> </w:t>
            </w:r>
            <w:r>
              <w:t>U. z</w:t>
            </w:r>
            <w:r>
              <w:t> </w:t>
            </w:r>
            <w:r>
              <w:t>2024</w:t>
            </w:r>
            <w:r>
              <w:t> </w:t>
            </w:r>
            <w:r>
              <w:t>r. poz.</w:t>
            </w:r>
            <w:r>
              <w:t> </w:t>
            </w:r>
            <w:r>
              <w:t>278) i</w:t>
            </w:r>
            <w:r>
              <w:t> </w:t>
            </w:r>
            <w:r>
              <w:t>położonych na terenach, dla których miejscowy plan zagospodarowania przestrzennego przewiduje przeznaczenie pod zabudowę mieszkaniową, usługową albo zabudowę o</w:t>
            </w:r>
            <w:r>
              <w:t> </w:t>
            </w:r>
            <w:r>
              <w:t>przeznaczeniu mieszanym obejmującym wyłącznie te rodzaje zabudowy, jeżeli od dnia wejścia w</w:t>
            </w:r>
            <w:r>
              <w:t> </w:t>
            </w:r>
            <w:r>
              <w:t>życie tego planu w</w:t>
            </w:r>
            <w:r>
              <w:t> </w:t>
            </w:r>
            <w:r>
              <w:t>odniesieniu do tych gruntów upłynął okres 4</w:t>
            </w:r>
            <w:r>
              <w:t> </w:t>
            </w:r>
            <w:r>
              <w:t>lat, a</w:t>
            </w:r>
            <w:r>
              <w:t> </w:t>
            </w:r>
            <w:r>
              <w:t>w tym czasie nie</w:t>
            </w:r>
            <w:r>
              <w:t> </w:t>
            </w:r>
            <w:r>
              <w:t>zakończono budowy zgodnie z</w:t>
            </w:r>
            <w:r>
              <w:t> </w:t>
            </w:r>
            <w:r>
              <w:t>przepisami prawa budowlanego – od 1</w:t>
            </w:r>
            <w:r>
              <w:t> </w:t>
            </w:r>
            <w:r>
              <w:t>m² powierzchni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  <w:p/>
          <w:p/>
          <w:p/>
          <w:p/>
          <w:p/>
          <w:p/>
          <w:p/>
          <w:p>
            <w:pPr>
              <w:jc w:val="right"/>
            </w:pPr>
            <w:r>
              <w:t>4,69</w:t>
            </w:r>
            <w:r>
              <w:t> </w:t>
            </w:r>
            <w:r>
              <w:t>zł.</w:t>
            </w:r>
          </w:p>
        </w:tc>
      </w:tr>
    </w:tbl>
    <w:p w:rsidR="00A77B3E">
      <w:pPr>
        <w:keepNext/>
        <w:keepLines w:val="0"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Traci moc uchwała nr XI/86/24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listopada 2024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sprawie wysokości stawek podatku od nieruchomości na terenie miasta Bytomia (Dz.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Urz.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Woj. Śl.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2024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poz.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8118).</w:t>
      </w:r>
    </w:p>
    <w:p w:rsidR="00A77B3E">
      <w:pPr>
        <w:keepNext/>
        <w:keepLines w:val="0"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Wykonanie uchwały powierza się Prezydentowi Miasta.</w:t>
      </w:r>
    </w:p>
    <w:p w:rsidR="00A77B3E">
      <w:pPr>
        <w:keepNext/>
        <w:keepLines w:val="0"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Dzienniku Urzędowym Województwa Śląskiego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dniem 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stycznia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134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ustawy o podatkach i opłatach lokalnych, górne granice stawek podatku od nieruchomości na 2026 rok waloryzowane są o wskaźnik wzrostu cen towarów i usług konsumpcyjnych w okresie pierwszego półrocza roku, w którym stawki ulegają zmianie, w stosunku do analogicznego okresu roku poprzedniego. Wskaźnik ten ogłaszany jest przez Prezesa Głównego Urzędu Statystycznego i za I półrocze 2025 roku wyniósł 4,5%.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opublikowanym wskaźnikiem, maksymalne możliwe do zastosowania na 2026 rok stawki podatkowe przeliczone zostały przez Ministra Finansów i określone w obwieszczeniu z dnia 1 sierpnia 2025 r. w sprawie górnych granic stawek kwotowych podatków i opłat lokalnych na rok 2026 (M. P. z dnia 6 sierpnia 2025 r. poz. 726).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projekcie uchwały zaproponowano na 2026 rok wzrost stawek o 4,1%, przy górnym możliwym do zastosowania 4,5%.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134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E1463B5C-DDBB-47C4-A9EB-70BBFBCE6DFB.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E1463B5C-DDBB-47C4-A9EB-70BBFBCE6DFB.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XXIV/214/25 z dnia 24 listopada 2025 r.</dc:title>
  <dc:subject>w sprawie określenia wysokości stawek podatku od nieruchomości na terenie miasta Bytomia</dc:subject>
  <dc:creator>asteuer</dc:creator>
  <cp:lastModifiedBy>asteuer</cp:lastModifiedBy>
  <cp:revision>1</cp:revision>
  <dcterms:created xsi:type="dcterms:W3CDTF">2025-11-26T14:51:44Z</dcterms:created>
  <dcterms:modified xsi:type="dcterms:W3CDTF">2025-11-26T14:51:44Z</dcterms:modified>
  <cp:category>Akt prawny</cp:category>
</cp:coreProperties>
</file>