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2.4.0 -->
  <w:body>
    <w:p w:rsidR="00A77B3E">
      <w:pPr>
        <w:spacing w:line="276" w:lineRule="auto"/>
        <w:ind w:left="0"/>
        <w:jc w:val="center"/>
        <w:rPr>
          <w:rFonts w:ascii="Arial" w:eastAsia="Arial" w:hAnsi="Arial" w:cs="Arial"/>
          <w:b/>
          <w:caps/>
          <w:sz w:val="24"/>
        </w:rPr>
      </w:pPr>
      <w:r>
        <w:rPr>
          <w:rFonts w:ascii="Arial" w:eastAsia="Arial" w:hAnsi="Arial" w:cs="Arial"/>
          <w:b/>
          <w:caps/>
          <w:sz w:val="24"/>
        </w:rPr>
        <w:t>Uchwała</w:t>
      </w:r>
      <w:r>
        <w:rPr>
          <w:rFonts w:ascii="Arial" w:eastAsia="Arial" w:hAnsi="Arial" w:cs="Arial"/>
          <w:b/>
          <w:caps/>
          <w:sz w:val="24"/>
        </w:rPr>
        <w:t xml:space="preserve"> Nr XXII/199/25</w:t>
      </w:r>
      <w:r>
        <w:rPr>
          <w:rFonts w:ascii="Arial" w:eastAsia="Arial" w:hAnsi="Arial" w:cs="Arial"/>
          <w:b/>
          <w:caps/>
          <w:sz w:val="24"/>
        </w:rPr>
        <w:br/>
      </w:r>
      <w:r>
        <w:rPr>
          <w:rFonts w:ascii="Arial" w:eastAsia="Arial" w:hAnsi="Arial" w:cs="Arial"/>
          <w:b/>
          <w:caps/>
          <w:sz w:val="24"/>
        </w:rPr>
        <w:t>Rady Miejskiej w Bytomiu</w:t>
      </w:r>
    </w:p>
    <w:p w:rsidR="00A77B3E">
      <w:pPr>
        <w:spacing w:before="280" w:after="280" w:line="276" w:lineRule="auto"/>
        <w:ind w:left="0"/>
        <w:jc w:val="center"/>
        <w:rPr>
          <w:rFonts w:ascii="Arial" w:eastAsia="Arial" w:hAnsi="Arial" w:cs="Arial"/>
          <w:b/>
          <w:caps/>
          <w:sz w:val="24"/>
        </w:rPr>
      </w:pPr>
      <w:r>
        <w:rPr>
          <w:rFonts w:ascii="Arial" w:eastAsia="Arial" w:hAnsi="Arial" w:cs="Arial"/>
          <w:b w:val="0"/>
          <w:caps w:val="0"/>
          <w:sz w:val="24"/>
        </w:rPr>
        <w:t>z dnia 20 października 2025 r.</w:t>
      </w:r>
    </w:p>
    <w:p w:rsidR="00A77B3E">
      <w:pPr>
        <w:keepNext/>
        <w:spacing w:before="0" w:after="480" w:line="276" w:lineRule="auto"/>
        <w:ind w:left="0" w:right="0" w:firstLine="0"/>
        <w:jc w:val="center"/>
        <w:rPr>
          <w:rFonts w:ascii="Arial" w:eastAsia="Arial" w:hAnsi="Arial" w:cs="Arial"/>
          <w:b w:val="0"/>
          <w:caps w:val="0"/>
          <w:strike w:val="0"/>
          <w:color w:val="auto"/>
          <w:sz w:val="24"/>
          <w:u w:val="none"/>
        </w:rPr>
      </w:pPr>
      <w:r>
        <w:rPr>
          <w:rFonts w:ascii="Arial" w:eastAsia="Arial" w:hAnsi="Arial" w:cs="Arial"/>
          <w:b/>
          <w:caps w:val="0"/>
          <w:sz w:val="24"/>
        </w:rPr>
        <w:t>w sprawie nadania Tytułu Honorowego Obywatela Miasta Bytomia</w:t>
      </w:r>
    </w:p>
    <w:p w:rsidR="00A77B3E">
      <w:pPr>
        <w:keepNext w:val="0"/>
        <w:keepLines/>
        <w:spacing w:before="120" w:after="120" w:line="276" w:lineRule="auto"/>
        <w:ind w:left="0" w:right="0" w:firstLine="227"/>
        <w:jc w:val="left"/>
        <w:rPr>
          <w:rFonts w:ascii="Arial" w:eastAsia="Arial" w:hAnsi="Arial" w:cs="Arial"/>
          <w:b w:val="0"/>
          <w:i w:val="0"/>
          <w:caps w:val="0"/>
          <w:strike w:val="0"/>
          <w:color w:val="000000"/>
          <w:sz w:val="24"/>
          <w:u w:val="none" w:color="000000"/>
          <w:vertAlign w:val="baseline"/>
        </w:rPr>
      </w:pPr>
      <w:r>
        <w:rPr>
          <w:rFonts w:ascii="Arial" w:eastAsia="Arial" w:hAnsi="Arial" w:cs="Arial"/>
          <w:b w:val="0"/>
          <w:i w:val="0"/>
          <w:caps w:val="0"/>
          <w:strike w:val="0"/>
          <w:color w:val="auto"/>
          <w:sz w:val="24"/>
          <w:u w:val="none"/>
          <w:vertAlign w:val="baseline"/>
        </w:rPr>
        <w:t>Na podstawie art.</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18</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ust.</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2 pkt</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14</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ustawy z</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dnia 8</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marca 1990</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r. o</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samorządzie gminnym (Dz.</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U. z</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2025</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r. poz.</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1153) w</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związku z</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4 Statutu Miasta Bytomia, stanowiącego załącznik nr 1</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 xml:space="preserve">do uchwały nr </w:t>
      </w:r>
      <w:r>
        <w:rPr>
          <w:rFonts w:ascii="Arial" w:eastAsia="Arial" w:hAnsi="Arial" w:cs="Arial"/>
          <w:b w:val="0"/>
          <w:i w:val="0"/>
          <w:caps/>
          <w:strike w:val="0"/>
          <w:color w:val="000000"/>
          <w:sz w:val="24"/>
          <w:u w:val="none" w:color="000000"/>
          <w:vertAlign w:val="baseline"/>
        </w:rPr>
        <w:t xml:space="preserve">LXIX/884/22 </w:t>
      </w:r>
      <w:r>
        <w:rPr>
          <w:rFonts w:ascii="Arial" w:eastAsia="Arial" w:hAnsi="Arial" w:cs="Arial"/>
          <w:b w:val="0"/>
          <w:i w:val="0"/>
          <w:caps w:val="0"/>
          <w:strike w:val="0"/>
          <w:color w:val="000000"/>
          <w:sz w:val="24"/>
          <w:u w:val="none" w:color="000000"/>
          <w:vertAlign w:val="baseline"/>
        </w:rPr>
        <w:t>Rady Miejskiej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Bytomiu z</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dnia 24</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października 2022</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r.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sprawie przyjęcia Statutu Miasta Bytomia (Dz. Urz. Woj. Śl. z</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2022</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r. poz.</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6796) uchwala</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się, co następuje:</w:t>
      </w:r>
    </w:p>
    <w:p w:rsidR="00A77B3E">
      <w:pPr>
        <w:keepNext w:val="0"/>
        <w:keepLines/>
        <w:spacing w:before="120" w:after="120" w:line="276" w:lineRule="auto"/>
        <w:ind w:left="0" w:right="0" w:firstLine="340"/>
        <w:jc w:val="left"/>
        <w:rPr>
          <w:rFonts w:ascii="Arial" w:eastAsia="Arial" w:hAnsi="Arial" w:cs="Arial"/>
          <w:b w:val="0"/>
          <w:i w:val="0"/>
          <w:caps w:val="0"/>
          <w:strike w:val="0"/>
          <w:color w:val="000000"/>
          <w:sz w:val="24"/>
          <w:u w:val="none" w:color="000000"/>
          <w:vertAlign w:val="baseline"/>
        </w:rPr>
      </w:pPr>
      <w:r>
        <w:rPr>
          <w:rFonts w:ascii="Arial" w:eastAsia="Arial" w:hAnsi="Arial" w:cs="Arial"/>
          <w:b/>
          <w:sz w:val="24"/>
        </w:rPr>
        <w:t>§ 1. </w:t>
      </w:r>
      <w:r>
        <w:rPr>
          <w:rFonts w:ascii="Arial" w:eastAsia="Arial" w:hAnsi="Arial" w:cs="Arial"/>
          <w:b w:val="0"/>
          <w:i w:val="0"/>
          <w:caps w:val="0"/>
          <w:strike w:val="0"/>
          <w:color w:val="000000"/>
          <w:sz w:val="24"/>
          <w:u w:val="none" w:color="000000"/>
          <w:vertAlign w:val="baseline"/>
        </w:rPr>
        <w:t>Nadaje się tytuł Honorowego Obywatela Miasta Bytomia Panu Leszkowi Dziubowi.</w:t>
      </w:r>
    </w:p>
    <w:p w:rsidR="00A77B3E">
      <w:pPr>
        <w:keepNext w:val="0"/>
        <w:keepLines/>
        <w:spacing w:before="120" w:after="120" w:line="276" w:lineRule="auto"/>
        <w:ind w:left="0" w:right="0" w:firstLine="340"/>
        <w:jc w:val="left"/>
        <w:rPr>
          <w:rFonts w:ascii="Arial" w:eastAsia="Arial" w:hAnsi="Arial" w:cs="Arial"/>
          <w:b w:val="0"/>
          <w:i w:val="0"/>
          <w:caps w:val="0"/>
          <w:strike w:val="0"/>
          <w:color w:val="000000"/>
          <w:sz w:val="24"/>
          <w:u w:val="none" w:color="000000"/>
          <w:vertAlign w:val="baseline"/>
        </w:rPr>
      </w:pPr>
      <w:r>
        <w:rPr>
          <w:rFonts w:ascii="Arial" w:eastAsia="Arial" w:hAnsi="Arial" w:cs="Arial"/>
          <w:b/>
          <w:sz w:val="24"/>
        </w:rPr>
        <w:t>§ 2. </w:t>
      </w:r>
      <w:r>
        <w:rPr>
          <w:rFonts w:ascii="Arial" w:eastAsia="Arial" w:hAnsi="Arial" w:cs="Arial"/>
          <w:b w:val="0"/>
          <w:i w:val="0"/>
          <w:caps w:val="0"/>
          <w:strike w:val="0"/>
          <w:color w:val="000000"/>
          <w:sz w:val="24"/>
          <w:u w:val="none" w:color="000000"/>
          <w:vertAlign w:val="baseline"/>
        </w:rPr>
        <w:t>Wykonanie uchwały powierza się Prezydentowi Miasta i</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Przewodniczącemu Rady Miejskiej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Bytomiu.</w:t>
      </w:r>
    </w:p>
    <w:p w:rsidR="00A77B3E">
      <w:pPr>
        <w:keepNext/>
        <w:keepLines/>
        <w:spacing w:before="120" w:after="120" w:line="276" w:lineRule="auto"/>
        <w:ind w:left="0" w:right="0" w:firstLine="340"/>
        <w:jc w:val="left"/>
        <w:rPr>
          <w:rFonts w:ascii="Arial" w:eastAsia="Arial" w:hAnsi="Arial" w:cs="Arial"/>
          <w:b w:val="0"/>
          <w:i w:val="0"/>
          <w:caps w:val="0"/>
          <w:strike w:val="0"/>
          <w:color w:val="000000"/>
          <w:sz w:val="24"/>
          <w:u w:val="none" w:color="000000"/>
          <w:vertAlign w:val="baseline"/>
        </w:rPr>
      </w:pPr>
      <w:r>
        <w:rPr>
          <w:rFonts w:ascii="Arial" w:eastAsia="Arial" w:hAnsi="Arial" w:cs="Arial"/>
          <w:b/>
          <w:sz w:val="24"/>
        </w:rPr>
        <w:t>§ 3. </w:t>
      </w:r>
      <w:r>
        <w:rPr>
          <w:rFonts w:ascii="Arial" w:eastAsia="Arial" w:hAnsi="Arial" w:cs="Arial"/>
          <w:b w:val="0"/>
          <w:i w:val="0"/>
          <w:caps w:val="0"/>
          <w:strike w:val="0"/>
          <w:color w:val="000000"/>
          <w:sz w:val="24"/>
          <w:u w:val="none" w:color="000000"/>
          <w:vertAlign w:val="baseline"/>
        </w:rPr>
        <w:t>Uchwała wchodzi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życie z</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dniem podjęcia.</w:t>
      </w:r>
    </w:p>
    <w:p w:rsidR="00A77B3E">
      <w:pPr>
        <w:keepNext/>
        <w:keepLines/>
        <w:spacing w:before="120" w:after="120" w:line="276" w:lineRule="auto"/>
        <w:ind w:left="0" w:right="0" w:firstLine="227"/>
        <w:jc w:val="left"/>
        <w:rPr>
          <w:rFonts w:ascii="Arial" w:eastAsia="Arial" w:hAnsi="Arial" w:cs="Arial"/>
          <w:b w:val="0"/>
          <w:i w:val="0"/>
          <w:caps w:val="0"/>
          <w:strike w:val="0"/>
          <w:color w:val="000000"/>
          <w:sz w:val="24"/>
          <w:u w:val="none" w:color="000000"/>
          <w:vertAlign w:val="baseline"/>
        </w:rPr>
      </w:pPr>
      <w:r>
        <w:rPr>
          <w:rFonts w:ascii="Arial" w:eastAsia="Arial" w:hAnsi="Arial" w:cs="Arial"/>
          <w:b w:val="0"/>
          <w:i w:val="0"/>
          <w:caps w:val="0"/>
          <w:strike w:val="0"/>
          <w:color w:val="000000"/>
          <w:sz w:val="24"/>
          <w:u w:val="none" w:color="000000"/>
          <w:vertAlign w:val="baseline"/>
        </w:rPr>
        <w:t> </w:t>
      </w:r>
    </w:p>
    <w:p w:rsidR="00A77B3E">
      <w:pPr>
        <w:keepNext/>
        <w:spacing w:before="0" w:after="0"/>
        <w:rPr>
          <w:rFonts w:ascii="Arial" w:eastAsia="Arial" w:hAnsi="Arial" w:cs="Arial"/>
          <w:b w:val="0"/>
          <w:i w:val="0"/>
          <w:caps w:val="0"/>
          <w:strike w:val="0"/>
          <w:color w:val="000000"/>
          <w:sz w:val="24"/>
          <w:u w:val="none" w:color="000000"/>
          <w:vertAlign w:val="baseline"/>
        </w:rPr>
      </w:pPr>
      <w:r>
        <w:rPr>
          <w:b w:val="0"/>
          <w:i w:val="0"/>
          <w:color w:val="000000"/>
          <w:u w:val="none"/>
          <w:vertAlign w:val="baseline"/>
        </w:rPr>
        <w:t> </w:t>
      </w:r>
    </w:p>
    <w:tbl>
      <w:tblPr>
        <w:tblW w:w="5000" w:type="pct"/>
        <w:tblCellMar>
          <w:top w:w="0" w:type="dxa"/>
          <w:left w:w="0" w:type="dxa"/>
          <w:bottom w:w="0" w:type="dxa"/>
          <w:right w:w="0" w:type="dxa"/>
        </w:tblCellMar>
      </w:tblPr>
      <w:tblGrid>
        <w:gridCol w:w="4933"/>
        <w:gridCol w:w="4933"/>
      </w:tblGrid>
      <w:tr>
        <w:tblPrEx>
          <w:tblW w:w="5000" w:type="pct"/>
          <w:tblCellMar>
            <w:top w:w="0" w:type="dxa"/>
            <w:left w:w="0" w:type="dxa"/>
            <w:bottom w:w="0" w:type="dxa"/>
            <w:right w:w="0" w:type="dxa"/>
          </w:tblCellMar>
        </w:tblPrEx>
        <w:tc>
          <w:tcPr>
            <w:tcW w:w="2500" w:type="pct"/>
            <w:noWrap w:val="0"/>
            <w:tcMar>
              <w:top w:w="0" w:type="dxa"/>
              <w:left w:w="0" w:type="dxa"/>
              <w:bottom w:w="0" w:type="dxa"/>
              <w:right w:w="0" w:type="dxa"/>
            </w:tcMar>
            <w:vAlign w:val="top"/>
            <w:hideMark/>
          </w:tcPr>
          <w:p>
            <w:pPr>
              <w:keepNext/>
              <w:keepLines/>
              <w:jc w:val="left"/>
              <w:rPr>
                <w:rFonts w:ascii="Arial" w:eastAsia="Arial" w:hAnsi="Arial" w:cs="Arial"/>
                <w:b w:val="0"/>
                <w:bCs w:val="0"/>
                <w:i w:val="0"/>
                <w:iCs w:val="0"/>
                <w:smallCaps w:val="0"/>
                <w:color w:val="000000"/>
                <w:sz w:val="24"/>
              </w:rPr>
            </w:pPr>
          </w:p>
        </w:tc>
        <w:tc>
          <w:tcPr>
            <w:tcW w:w="2500" w:type="pct"/>
            <w:noWrap w:val="0"/>
            <w:tcMar>
              <w:top w:w="0" w:type="dxa"/>
              <w:left w:w="0" w:type="dxa"/>
              <w:bottom w:w="0" w:type="dxa"/>
              <w:right w:w="0" w:type="dxa"/>
            </w:tcMar>
            <w:vAlign w:val="top"/>
            <w:hideMark/>
          </w:tcPr>
          <w:p>
            <w:pPr>
              <w:keepNext/>
              <w:keepLines/>
              <w:spacing w:before="100" w:after="40"/>
              <w:ind w:left="1134" w:right="1134" w:firstLine="0"/>
              <w:jc w:val="center"/>
              <w:rPr>
                <w:rFonts w:ascii="Arial" w:eastAsia="Arial" w:hAnsi="Arial" w:cs="Arial"/>
                <w:b w:val="0"/>
                <w:bCs w:val="0"/>
                <w:i w:val="0"/>
                <w:iCs w:val="0"/>
                <w:smallCaps w:val="0"/>
                <w:color w:val="000000"/>
                <w:sz w:val="24"/>
              </w:rPr>
            </w:pPr>
            <w:r>
              <w:rPr>
                <w:rFonts w:ascii="Arial" w:eastAsia="Arial" w:hAnsi="Arial" w:cs="Arial"/>
                <w:b w:val="0"/>
                <w:bCs w:val="0"/>
                <w:i w:val="0"/>
                <w:iCs w:val="0"/>
                <w:smallCaps w:val="0"/>
                <w:color w:val="000000"/>
                <w:sz w:val="24"/>
              </w:rPr>
              <w:t>Przewodniczący Rady Miejskiej</w:t>
            </w:r>
            <w:r>
              <w:rPr>
                <w:rFonts w:ascii="Arial" w:eastAsia="Arial" w:hAnsi="Arial" w:cs="Arial"/>
                <w:b w:val="0"/>
                <w:bCs w:val="0"/>
                <w:i w:val="0"/>
                <w:iCs w:val="0"/>
                <w:smallCaps w:val="0"/>
                <w:color w:val="000000"/>
                <w:sz w:val="24"/>
              </w:rPr>
              <w:br/>
            </w:r>
            <w:r>
              <w:rPr>
                <w:rFonts w:ascii="Arial" w:eastAsia="Arial" w:hAnsi="Arial" w:cs="Arial"/>
                <w:b w:val="0"/>
                <w:bCs w:val="0"/>
                <w:i w:val="0"/>
                <w:iCs w:val="0"/>
                <w:smallCaps w:val="0"/>
                <w:color w:val="000000"/>
                <w:sz w:val="24"/>
              </w:rPr>
              <w:br/>
            </w:r>
            <w:r>
              <w:rPr>
                <w:rFonts w:ascii="Arial" w:eastAsia="Arial" w:hAnsi="Arial" w:cs="Arial"/>
                <w:b w:val="0"/>
                <w:bCs w:val="0"/>
                <w:i w:val="0"/>
                <w:iCs w:val="0"/>
                <w:smallCaps w:val="0"/>
                <w:color w:val="000000"/>
                <w:sz w:val="24"/>
              </w:rPr>
              <w:br/>
            </w:r>
            <w:r>
              <w:rPr>
                <w:b/>
                <w:i w:val="0"/>
              </w:rPr>
              <w:t>Michał Staniszewski</w:t>
            </w:r>
          </w:p>
        </w:tc>
      </w:tr>
    </w:tbl>
    <w:p w:rsidR="00A77B3E">
      <w:pPr>
        <w:keepNext/>
        <w:spacing w:before="0" w:after="0"/>
        <w:rPr>
          <w:rFonts w:ascii="Arial" w:eastAsia="Arial" w:hAnsi="Arial" w:cs="Arial"/>
          <w:b w:val="0"/>
          <w:i w:val="0"/>
          <w:caps w:val="0"/>
          <w:strike w:val="0"/>
          <w:color w:val="000000"/>
          <w:sz w:val="24"/>
          <w:u w:val="none" w:color="000000"/>
          <w:vertAlign w:val="baseline"/>
        </w:rPr>
        <w:sectPr>
          <w:footerReference w:type="default" r:id="rId4"/>
          <w:endnotePr>
            <w:numFmt w:val="decimal"/>
          </w:endnotePr>
          <w:pgSz w:w="11906" w:h="16838"/>
          <w:pgMar w:top="1417" w:right="1020" w:bottom="992" w:left="1020" w:header="708" w:footer="708" w:gutter="0"/>
          <w:cols w:space="708"/>
          <w:docGrid w:linePitch="360"/>
        </w:sectPr>
      </w:pPr>
    </w:p>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Cs w:val="20"/>
        </w:rPr>
      </w:pPr>
    </w:p>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Cs w:val="20"/>
        </w:rPr>
      </w:pPr>
      <w:r>
        <w:rPr>
          <w:rFonts w:eastAsia="Times New Roman" w:cs="Times New Roman"/>
          <w:caps/>
          <w:szCs w:val="20"/>
        </w:rPr>
        <w:t>Uzasadnienie</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szCs w:val="20"/>
        </w:rPr>
      </w:pPr>
      <w:r>
        <w:rPr>
          <w:rFonts w:eastAsia="Times New Roman" w:cs="Times New Roman"/>
          <w:szCs w:val="20"/>
        </w:rPr>
        <w:t>Tytuł Honorowego Obywatela Miasta Bytomia jest przeznaczony dla postaci szczególnie zasłużonych dla naszego miasta. Jest podniosłym świadectwem wyjątkowego uznania lokalnej społeczności dla osób o uznanym autorytecie, dorobku zawodowym i wyjątkowych sukcesach, mających trwały i niepowtarzalny wkład w historię, rozwój, znaczenie i pozycję miasta.</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szCs w:val="20"/>
        </w:rPr>
      </w:pPr>
      <w:r>
        <w:rPr>
          <w:rFonts w:eastAsia="Times New Roman" w:cs="Times New Roman"/>
          <w:szCs w:val="20"/>
        </w:rPr>
        <w:t>Bytomski przedsiębiorca Leszek Dziub, urodzony w 1951 r., założyciel i właściciel firmy przemysłowo-budowlanej „Lechbud”, przybył do Bytomia z ziemi świętokrzyskiej. To typowy życiorys wielu mieszkańców Bytomia jego pokolenia. Górny Śląsk przyciągał młodych ludzi, spragnionych pracy i perspektyw osobistego rozwoju. Od początku doskonale wpisał się w mentalność mieszkańców tej ziemi – solidność, rzetelność, umiłowanie pracy i wysokiej kultury technicznej i organizacyjnej. Jego cechy charakteru – bezkompromisowość, a także umiejętność stawiania wysokich wymagań zarówno wobec siebie, jak i innych, szybko zaowocowały sukcesami zawodowymi i opinią skutecznego fachowca.</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szCs w:val="20"/>
        </w:rPr>
      </w:pPr>
      <w:r>
        <w:rPr>
          <w:rFonts w:eastAsia="Times New Roman" w:cs="Times New Roman"/>
          <w:szCs w:val="20"/>
        </w:rPr>
        <w:t>Leszek Dziub to wieloletni pracownik Bytomskiego Kombinatu Budowlanego przechodzący kolejne stopnie kariery zawodowej, aż do funkcji kierownika budów. Realizował wiele inwestycji budowlanych w okresie dynamicznego rozwoju demograficznego, a co za tym idzie urbanistycznego naszego miasta, budował nowe osiedla, szkoły, przedszkola, pawilony handlowe. Budownictwo z tych czasów, przez wiele lat krytykowane, dziś zaczyna być doceniane przez architektów i urbanistów za funkcjonalność i adaptacyjność. Zrównoważona zabudowa, zachowany balans pomiędzy zastosowaną technologią, wymogami infrastruktury, a potrzebami mieszkańców, a przede wszystkim integracja z przyrodą, stanowią dziś atuty bytomskich dużych osiedli mieszkaniowych, tworzonych w latach 70 i 80-tych przez fachowców, takich jak Leszek Dziub.</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szCs w:val="20"/>
        </w:rPr>
      </w:pPr>
      <w:r>
        <w:rPr>
          <w:rFonts w:eastAsia="Times New Roman" w:cs="Times New Roman"/>
          <w:szCs w:val="20"/>
        </w:rPr>
        <w:t>Jego przebojowość i przedsiębiorczość popchnęła go pod koniec lat 80-tych do założenia własnej firmy budowlanej. Tylko najlepsze inicjatywy gospodarcze z tamtych czasów przetrwały silną konkurencję w tej branży. Solidność i renoma Pana Leszka Dziuba sprawiły, że „Lechbud”, do dziś realizuje kolejne budowlane przedsięwzięcia, nie tylko zresztą na terenie Bytomia.</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szCs w:val="20"/>
        </w:rPr>
      </w:pPr>
      <w:r>
        <w:rPr>
          <w:rFonts w:eastAsia="Times New Roman" w:cs="Times New Roman"/>
          <w:szCs w:val="20"/>
        </w:rPr>
        <w:t>Naturalne cechy lidera i zdobyty autorytet sprawiły, że Leszek Dziub stał się osobą ogniskującą potencjał bytomskiego środowiska przedsiębiorców. Od 2000 r. jest prezesem Regionalnej Izby Gospodarczej Delegatury w Bytomiu, zrzeszającej wiele podmiotów gospodarczych o zróżnicowanym profilu działalności. Jego działalność w tej organizacji i podejmowane inicjatywy konsekwentnie wspierają przedsiębiorczość i integrują lokalny biznes, pobudzając jego rozwój. Jego priorytetem w ramach samorządu gospodarczego stało się reprezentowanie interesów przedsiębiorców, a także upowszechnianie zasad racjonalnego gospodarowania, nowoczesnego zarządzania oraz promowanie postępu technicznego, technologicznego i organizacyjnego w środowisku bytomskiego biznesu.</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szCs w:val="20"/>
        </w:rPr>
      </w:pPr>
      <w:r>
        <w:rPr>
          <w:rFonts w:eastAsia="Times New Roman" w:cs="Times New Roman"/>
          <w:szCs w:val="20"/>
        </w:rPr>
        <w:t>Leszek Dziub to organizator corocznej Gali Delegatury Regionalnej Izby Gospodarczej w Bytomiu oraz spotkań byłych pracowników Bytomskiego Kombinatu Budowlanego, integrujących lokalną społeczność branży budowlanej.</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szCs w:val="20"/>
        </w:rPr>
      </w:pPr>
      <w:r>
        <w:rPr>
          <w:rFonts w:eastAsia="Times New Roman" w:cs="Times New Roman"/>
          <w:szCs w:val="20"/>
        </w:rPr>
        <w:t>Wielokrotnie nagradzany w czasie swojej aktywności zawodowej i społecznej m. in.: Brązową Odznaką Zasłużony dla Budownictwa i Przemysłu Materiałów Budowlanych, Srebrnym Krzyżem Zasługi i Srebrną Odznaką Zasłużony w Rozwoju Województwa Katowickiego. W 2000 r. Państwowe Szkoły Budownictwa – Zespół Szkół uhonorowały Leszka Dziuba nagrodą Bene Merius Scholare za zasługi dla szkoły. Za szczególne zasługi dla naszej społeczności miejskiej Leszek Dziub otrzymał w 2002 r. Medal Miasta Bytomia. Jest także posiadaczem Złotego Lauru Umiejętności i Kompetencji w kategorii menadżerów i liderów społeczno-gospodarczych.</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szCs w:val="20"/>
        </w:rPr>
      </w:pPr>
      <w:r>
        <w:rPr>
          <w:rFonts w:eastAsia="Times New Roman" w:cs="Times New Roman"/>
          <w:szCs w:val="20"/>
        </w:rPr>
        <w:t>Wśród wielu innych znaczących nagród i wyróżnień należy wymienić również: Złoty Krzyż Zasługi nadany przez Prezydenta RP w 2004 r. oraz Brązową Odznakę Zasłużony dla Ochrony Przeciwpożarowej, a także nagrodę „Marka – Śląskie” w kategorii społeczna odpowiedzialność biznesu, przyznawaną w podziękowaniu za znaczący wkład w rozwój Województwa Śląskiego i budowanie regionalnej marki.</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szCs w:val="20"/>
        </w:rPr>
      </w:pPr>
      <w:r>
        <w:rPr>
          <w:rFonts w:eastAsia="Times New Roman" w:cs="Times New Roman"/>
          <w:szCs w:val="20"/>
        </w:rPr>
        <w:t>W 2022 r. Leszek Dziub został uhonorowany Medalem i Pierścieniem Stulecia Niepodległości RP. Jest to wyróżnienie nadawane osobom zasłużonym dla bezpieczeństwa kraju, wnoszącym istotny wkład dla dobra publicznego, rozwoju gospodarki oraz wizerunku naszej ojczyzny. Kierowany przez niego „Lechbud” został doceniony za zaangażowanie we współpracę oraz promocję idei samorządu gospodarczego i uhonorowany Śląską Nagrodą Jakości. Firma jest ceniona przez młodych budowlańców, pracowników i inżynierów ze względu na wysoką jakość prowadzonych staży podyplomowych i praktyk budowlanych.</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szCs w:val="20"/>
        </w:rPr>
      </w:pPr>
      <w:r>
        <w:rPr>
          <w:rFonts w:eastAsia="Times New Roman" w:cs="Times New Roman"/>
          <w:szCs w:val="20"/>
        </w:rPr>
        <w:t>Pan Leszek Dziub od lat wprowadza w życie zasady społecznej odpowiedzialności biznesu, angażuje się w działalność społeczną i charytatywną, wspierając od lat Dom Dziecka przy ulicy Wrocławskiej i Państwowe Szkoły Budownictwa – Zespół Szkół w Bytomiu, jak również liczne lokalne przedsięwzięcia. Były wiceprezes bytomskiej „Polonii”. Zaangażowany w organizację obchodów 750-lecia nadania praw miejskich Bytomiowi w 2004 r., będąc członkiem Komitetu Honorowego jubileuszu miasta. Za wybitne zasługi w organizacji wieloletniej i skutecznej pomocy humanitarnej dla Polaków na Kresach Wschodnich oraz podtrzymywanie ducha polskości na tych terenach otrzymał w 2018 r. dyplom Praemium Honoris Cresovianae.</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szCs w:val="20"/>
        </w:rPr>
      </w:pPr>
      <w:r>
        <w:rPr>
          <w:rFonts w:eastAsia="Times New Roman" w:cs="Times New Roman"/>
          <w:szCs w:val="20"/>
        </w:rPr>
        <w:t>Samorząd terytorialny i sektor małych i średnich przedsiębiorstw są dwoma kluczowymi fundamentami rozwoju lokalnych społeczności. Sukces gospodarczy naszego kraju na przestrzeni ostatnich lat jest bezpośrednim owocem działalności firm, takich jak „Lechbud”.</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szCs w:val="20"/>
        </w:rPr>
      </w:pPr>
      <w:r>
        <w:rPr>
          <w:rFonts w:eastAsia="Times New Roman" w:cs="Times New Roman"/>
          <w:szCs w:val="20"/>
        </w:rPr>
        <w:t>Na organach samorządu terytorialnego ciąży szczególny obowiązek doceniania funkcjonowania tych osób i podmiotów, które wspierają lokalną gospodarkę, tworzą miejsca pracy, podatkowo zasilają miejski budżet i zacieśniają więzi społeczne. Jesteśmy przekonani, że ich gospodarcza pozycja, obecność i sukcesy przekładają się wprost na powodzenie całej wspólnoty samorządowej.</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szCs w:val="20"/>
        </w:rPr>
      </w:pPr>
      <w:r>
        <w:rPr>
          <w:rFonts w:eastAsia="Times New Roman" w:cs="Times New Roman"/>
          <w:szCs w:val="20"/>
        </w:rPr>
        <w:t>Kevin Lynch w „Obrazie Miasta” zdefiniował miasto jako zbiorowisko budynków i przestrzeni pomiędzy nimi, które tworzą strukturę życia społecznego i gospodarczego. Z efektów pracy Pana Leszka Dziuba i jego wieloletniej działalności bytomianie korzystają na co dzień. Są w widoczny i funkcjonalny sposób wpisane w materialną tkankę Miasta. To osiedla, domy, budynki, lokale mieszkalne i użytkowe, to niezliczone zrealizowane modernizacje, przebudowy i remonty. To wszystko, co tworzy namacalną i niezbędną istotę miejskości.</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szCs w:val="20"/>
        </w:rPr>
      </w:pPr>
      <w:r>
        <w:rPr>
          <w:rFonts w:eastAsia="Times New Roman" w:cs="Times New Roman"/>
          <w:szCs w:val="20"/>
        </w:rPr>
        <w:t>Pan Leszek Dziub pozytywnie zapisał się w procesie rozwoju gospodarczego i społecznego Bytomia. Swoim konsekwentnym przywiązaniem do naszego miasta, budowaniem swojego potencjału na lokalnych zasobach organizacyjnych, kadrowych i logistycznych, dowiódł, że lokalna przedsiębiorczość to nie tylko element komercyjnej gospodarki, to najcenniejszy partner samorządu terytorialnego w tworzeniu lepszych warunków życia, rozwoju i jakości życia mieszkańców. Jesteśmy przekonani, że przedsiębiorcy tacy jak Pan Leszek Dziub tworzą najtrwalszy i najcenniejszy fundament zrównoważonego rozwoju społeczności.</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szCs w:val="20"/>
        </w:rPr>
      </w:pPr>
      <w:r>
        <w:rPr>
          <w:rFonts w:eastAsia="Times New Roman" w:cs="Times New Roman"/>
          <w:szCs w:val="20"/>
        </w:rPr>
        <w:t>W obliczu oceny dokonań dla naszej wspólnoty, nadanie Panu Leszkowi Dziubowi Tytułu Honorowego Obywatela Miasta Bytomia jest szczególnie zasadne.</w:t>
      </w:r>
    </w:p>
    <w:sectPr>
      <w:footerReference w:type="default" r:id="rId5"/>
      <w:endnotePr>
        <w:numFmt w:val="decimal"/>
      </w:endnotePr>
      <w:type w:val="nextPage"/>
      <w:pgSz w:w="11906" w:h="16838" w:code="0"/>
      <w:pgMar w:top="1417" w:right="1020" w:bottom="992" w:left="1020"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6577"/>
      <w:gridCol w:w="328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6577" w:type="dxa"/>
          <w:tcBorders>
            <w:top w:val="single" w:sz="4" w:space="0" w:color="auto"/>
            <w:left w:val="nil"/>
            <w:bottom w:val="nil"/>
            <w:right w:val="nil"/>
          </w:tcBorders>
          <w:noWrap w:val="0"/>
          <w:tcMar>
            <w:top w:w="100" w:type="dxa"/>
            <w:left w:w="0" w:type="dxa"/>
            <w:bottom w:w="0" w:type="dxa"/>
            <w:right w:w="0" w:type="dxa"/>
          </w:tcMar>
          <w:vAlign w:val="top"/>
          <w:hideMark/>
        </w:tcPr>
        <w:p>
          <w:pPr>
            <w:jc w:val="left"/>
            <w:rPr>
              <w:rFonts w:ascii="Arial" w:eastAsia="Arial" w:hAnsi="Arial" w:cs="Arial"/>
              <w:b w:val="0"/>
              <w:sz w:val="18"/>
            </w:rPr>
          </w:pPr>
          <w:r>
            <w:rPr>
              <w:rFonts w:ascii="Arial" w:eastAsia="Arial" w:hAnsi="Arial" w:cs="Arial"/>
              <w:b w:val="0"/>
              <w:sz w:val="18"/>
            </w:rPr>
            <w:t>Id: 5C55849C-8257-4D66-AD81-2F5A5896FF69. Podpisany</w:t>
          </w:r>
        </w:p>
      </w:tc>
      <w:tc>
        <w:tcPr>
          <w:tcW w:w="3289" w:type="dxa"/>
          <w:tcBorders>
            <w:top w:val="single" w:sz="4" w:space="0" w:color="auto"/>
            <w:left w:val="nil"/>
            <w:bottom w:val="nil"/>
            <w:right w:val="nil"/>
          </w:tcBorders>
          <w:noWrap w:val="0"/>
          <w:tcMar>
            <w:top w:w="100" w:type="dxa"/>
            <w:left w:w="0" w:type="dxa"/>
            <w:bottom w:w="0" w:type="dxa"/>
            <w:right w:w="0" w:type="dxa"/>
          </w:tcMar>
          <w:vAlign w:val="top"/>
          <w:hideMark/>
        </w:tcPr>
        <w:p>
          <w:pPr>
            <w:jc w:val="right"/>
            <w:rPr>
              <w:rFonts w:ascii="Arial" w:eastAsia="Arial" w:hAnsi="Arial" w:cs="Arial"/>
              <w:b w:val="0"/>
              <w:sz w:val="18"/>
            </w:rPr>
          </w:pPr>
          <w:r>
            <w:rPr>
              <w:rFonts w:ascii="Arial" w:eastAsia="Arial" w:hAnsi="Arial" w:cs="Arial"/>
              <w:b w:val="0"/>
              <w:sz w:val="18"/>
            </w:rPr>
            <w:t xml:space="preserve">Strona </w:t>
          </w:r>
          <w:r>
            <w:rPr>
              <w:rFonts w:ascii="Arial" w:eastAsia="Arial" w:hAnsi="Arial" w:cs="Arial"/>
              <w:b w:val="0"/>
              <w:sz w:val="18"/>
            </w:rPr>
            <w:fldChar w:fldCharType="begin"/>
          </w:r>
          <w:r>
            <w:rPr>
              <w:rFonts w:ascii="Arial" w:eastAsia="Arial" w:hAnsi="Arial" w:cs="Arial"/>
              <w:b w:val="0"/>
              <w:sz w:val="18"/>
            </w:rPr>
            <w:instrText>PAGE</w:instrText>
          </w:r>
          <w:r>
            <w:rPr>
              <w:rFonts w:ascii="Arial" w:eastAsia="Arial" w:hAnsi="Arial" w:cs="Arial"/>
              <w:b w:val="0"/>
              <w:sz w:val="18"/>
            </w:rPr>
            <w:fldChar w:fldCharType="separate"/>
          </w:r>
          <w:r>
            <w:rPr>
              <w:rFonts w:ascii="Arial" w:eastAsia="Arial" w:hAnsi="Arial" w:cs="Arial"/>
              <w:b w:val="0"/>
              <w:sz w:val="18"/>
            </w:rPr>
            <w:fldChar w:fldCharType="end"/>
          </w:r>
        </w:p>
      </w:tc>
    </w:tr>
  </w:tbl>
  <w:p>
    <w:pPr>
      <w:rPr>
        <w:rFonts w:ascii="Arial" w:eastAsia="Arial" w:hAnsi="Arial" w:cs="Arial"/>
        <w:b w:val="0"/>
        <w:sz w:val="1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6577"/>
      <w:gridCol w:w="328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6577" w:type="dxa"/>
          <w:tcBorders>
            <w:top w:val="single" w:sz="4" w:space="0" w:color="auto"/>
            <w:left w:val="nil"/>
            <w:bottom w:val="nil"/>
            <w:right w:val="nil"/>
          </w:tcBorders>
          <w:noWrap w:val="0"/>
          <w:tcMar>
            <w:top w:w="100" w:type="dxa"/>
            <w:left w:w="0" w:type="dxa"/>
            <w:bottom w:w="0" w:type="dxa"/>
            <w:right w:w="0" w:type="dxa"/>
          </w:tcMar>
          <w:vAlign w:val="top"/>
          <w:hideMark/>
        </w:tcPr>
        <w:p>
          <w:pPr>
            <w:jc w:val="left"/>
            <w:rPr>
              <w:rFonts w:ascii="Arial" w:eastAsia="Arial" w:hAnsi="Arial" w:cs="Arial"/>
              <w:b w:val="0"/>
              <w:sz w:val="18"/>
            </w:rPr>
          </w:pPr>
          <w:r>
            <w:rPr>
              <w:rFonts w:ascii="Arial" w:eastAsia="Arial" w:hAnsi="Arial" w:cs="Arial"/>
              <w:b w:val="0"/>
              <w:sz w:val="18"/>
            </w:rPr>
            <w:t>Id: 5C55849C-8257-4D66-AD81-2F5A5896FF69. Podpisany</w:t>
          </w:r>
        </w:p>
      </w:tc>
      <w:tc>
        <w:tcPr>
          <w:tcW w:w="3289" w:type="dxa"/>
          <w:tcBorders>
            <w:top w:val="single" w:sz="4" w:space="0" w:color="auto"/>
            <w:left w:val="nil"/>
            <w:bottom w:val="nil"/>
            <w:right w:val="nil"/>
          </w:tcBorders>
          <w:noWrap w:val="0"/>
          <w:tcMar>
            <w:top w:w="100" w:type="dxa"/>
            <w:left w:w="0" w:type="dxa"/>
            <w:bottom w:w="0" w:type="dxa"/>
            <w:right w:w="0" w:type="dxa"/>
          </w:tcMar>
          <w:vAlign w:val="top"/>
          <w:hideMark/>
        </w:tcPr>
        <w:p>
          <w:pPr>
            <w:jc w:val="right"/>
            <w:rPr>
              <w:rFonts w:ascii="Arial" w:eastAsia="Arial" w:hAnsi="Arial" w:cs="Arial"/>
              <w:b w:val="0"/>
              <w:sz w:val="18"/>
            </w:rPr>
          </w:pPr>
          <w:r>
            <w:rPr>
              <w:rFonts w:ascii="Arial" w:eastAsia="Arial" w:hAnsi="Arial" w:cs="Arial"/>
              <w:b w:val="0"/>
              <w:sz w:val="18"/>
            </w:rPr>
            <w:t xml:space="preserve">Strona </w:t>
          </w:r>
          <w:r>
            <w:rPr>
              <w:rFonts w:ascii="Arial" w:eastAsia="Arial" w:hAnsi="Arial" w:cs="Arial"/>
              <w:b w:val="0"/>
              <w:sz w:val="18"/>
            </w:rPr>
            <w:fldChar w:fldCharType="begin"/>
          </w:r>
          <w:r>
            <w:rPr>
              <w:rFonts w:ascii="Arial" w:eastAsia="Arial" w:hAnsi="Arial" w:cs="Arial"/>
              <w:b w:val="0"/>
              <w:sz w:val="18"/>
            </w:rPr>
            <w:instrText>PAGE</w:instrText>
          </w:r>
          <w:r>
            <w:rPr>
              <w:rFonts w:ascii="Arial" w:eastAsia="Arial" w:hAnsi="Arial" w:cs="Arial"/>
              <w:b w:val="0"/>
              <w:sz w:val="18"/>
            </w:rPr>
            <w:fldChar w:fldCharType="separate"/>
          </w:r>
          <w:r>
            <w:rPr>
              <w:rFonts w:ascii="Arial" w:eastAsia="Arial" w:hAnsi="Arial" w:cs="Arial"/>
              <w:b w:val="0"/>
              <w:sz w:val="18"/>
            </w:rPr>
            <w:fldChar w:fldCharType="end"/>
          </w:r>
        </w:p>
      </w:tc>
    </w:tr>
  </w:tbl>
  <w:p>
    <w:pPr>
      <w:rPr>
        <w:rFonts w:ascii="Arial" w:eastAsia="Arial" w:hAnsi="Arial" w:cs="Arial"/>
        <w:b w:val="0"/>
        <w:sz w:val="18"/>
      </w:rPr>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endnotePr>
    <w:numFmt w:val="decimal"/>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pl-P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jc w:val="left"/>
    </w:pPr>
    <w:rPr>
      <w:rFonts w:ascii="Arial" w:eastAsia="Arial" w:hAnsi="Arial" w:cs="Arial"/>
      <w:sz w:val="24"/>
      <w:szCs w:val="24"/>
      <w:lang w:val="pl-PL" w:eastAsia="pl-PL" w:bidi="pl-PL"/>
    </w:rPr>
  </w:style>
  <w:style w:type="character" w:default="1" w:styleId="DefaultParagraphFont">
    <w:name w:val="Default Paragraph Font"/>
    <w:semiHidden/>
    <w:rPr>
      <w:lang w:val="pl-PL" w:eastAsia="pl-PL" w:bidi="pl-PL"/>
    </w:rPr>
  </w:style>
  <w:style w:type="table" w:default="1" w:styleId="TableNormal">
    <w:name w:val="Normal Table"/>
    <w:semiHidden/>
    <w:rPr>
      <w:lang w:val="pl-PL" w:eastAsia="pl-PL" w:bidi="pl-PL"/>
    </w:rPr>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a:dk1>
      <a:lt1>
        <a:sysClr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Rada Miejska w Bytomiu</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XXII/199/25 z dnia 20 października 2025 r.</dc:title>
  <dc:subject>w sprawie nadania Tytułu Honorowego Obywatela Miasta Bytomia</dc:subject>
  <dc:creator>asteuer</dc:creator>
  <cp:lastModifiedBy>asteuer</cp:lastModifiedBy>
  <cp:revision>1</cp:revision>
  <dcterms:created xsi:type="dcterms:W3CDTF">2025-10-21T11:39:25Z</dcterms:created>
  <dcterms:modified xsi:type="dcterms:W3CDTF">2025-10-21T11:39:25Z</dcterms:modified>
  <cp:category>Akt prawny</cp:category>
</cp:coreProperties>
</file>