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XXIII/205/25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27 października 2025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ustalenia wysokości ekwiwalentu pieniężnego dla strażaków ratowników ochotniczych straży pożarnych i kandydatów na strażaków ratowników na terenie Gminy Bytom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grudnia 2021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ochotniczych strażach pożarnych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244) uchwala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Ustala się wysokość ekwiwalentu pieniężnego,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którym mowa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grudnia 2021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ochotniczych strażach pożarnych,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kwocie: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32,00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zł (trzydzieści dwa złote) za każdą rozpoczętą godzinę udziału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działaniu ratowniczym lub akcji ratowniczej;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25,00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zł (dwadzieścia pięć złotych) za każdą rozpoczętą godzinę udziału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szkoleniu lub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ćwiczeniu.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Traci moc uchwała nr LXXXV/1065/23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30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października 2023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ustalenia wysokości ekwiwalentu pieniężnego dla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strażaków ratowników ochotniczych straży pożarnych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kandydatów na strażaków ratowników na terenie Gminy Bytom (Dz. Urz. Woj. Śl.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8270).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po upływie 14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 od dnia ogłoszenia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Dzienniku Urzędowym Województwa Śląskiego.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Michał Staniszewski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ustawą z dnia 17 grudnia 2021 r. o ochotniczych strażach pożarnych (Dz. U. z 2025 r. poz. 244), wysokość ekwiwalentu pieniężnego ustala, nie rzadziej niż raz na 2 lata, właściwa rada gminy w drodze uchwały. W związku z tym zachodzi potrzeba podjęcia nowej uchwały regulującej wysokość ekwiwalentu pieniężnego dla strażaków ratowników i kandydatów na strażaków ratowników, zgodnie z obowiązującymi przepisami w tym zakresie.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Mając powyższe względy na uwadze, podjęcie niniejszej uchwały staje się konieczne i uzasadnione. Przedmiotowa uchwała podlega ogłoszeniu w Dzienniku Urzędowym Województwa Śląskiego.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FEC1A605-13EB-484F-981F-0244B15DB510.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FEC1A605-13EB-484F-981F-0244B15DB510.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XXIII/205/25 z dnia 27 października 2025 r.</dc:title>
  <dc:subject>w sprawie ustalenia wysokości ekwiwalentu pieniężnego dla strażaków ratowników ochotniczych straży pożarnych i^kandydatów na strażaków ratowników na terenie Gminy Bytom</dc:subject>
  <dc:creator>asteuer</dc:creator>
  <cp:lastModifiedBy>asteuer</cp:lastModifiedBy>
  <cp:revision>1</cp:revision>
  <dcterms:created xsi:type="dcterms:W3CDTF">2025-10-28T12:12:37Z</dcterms:created>
  <dcterms:modified xsi:type="dcterms:W3CDTF">2025-10-28T12:12:37Z</dcterms:modified>
  <cp:category>Akt prawny</cp:category>
</cp:coreProperties>
</file>