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4.0 -->
  <w:body>
    <w:p w:rsidR="00A77B3E">
      <w:pPr>
        <w:spacing w:line="240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XVIII/155/25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40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17 czerwca 2025 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udzielenia wotum zaufania Prezydentowi Bytomia</w:t>
      </w:r>
    </w:p>
    <w:p w:rsidR="00A77B3E">
      <w:pPr>
        <w:keepNext w:val="0"/>
        <w:keepLines/>
        <w:spacing w:before="120" w:after="120" w:line="240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4a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28aa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r.,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1465,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zm.), po przeprowadzeniu debaty nad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„Raportem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stanie miasta Bytom 2024”, uchwala się, co następuje: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Udziela się wotum zaufania Prezydentowi Bytomia.</w:t>
      </w:r>
    </w:p>
    <w:p w:rsidR="00A77B3E">
      <w:pPr>
        <w:keepNext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40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Michał Staniszewski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dniu 20 maja 2025 r. Prezydent Bytomia, zgodnie z art. 28aa ust. 1 ustawy o samorządzie gminnym, przedłożył Radzie Miejskiej „Raport o stanie miasta Bytom 2024”.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Komisja Rewizyjna Rady Miejskiej w Bytomiu na posiedzeniu w dniu 9 czerwca 2025 r. omówiła i pozytywnie zaopiniowała ww. Raport.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Zgodnie z art. 28aa ust. 4 ustawy o samorządzie gminnym debatę nad Raportem przeprowadza się podczas sesji Rady Miejskiej, na której podejmowana jest uchwała w sprawie udzielenia Prezydentowi Miasta absolutorium z tytułu wykonania budżetu miasta. Po zakończeniu debaty, zgodnie z art. 28aa ust. 9 ww. ustawy, Rada Miejska przeprowadza głosowanie nad udzieleniem Prezydentowi Miasta wotum zaufania.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Uchwałę o udzieleniu Prezydentowi Miasta wotum zaufania Rada Miejska podejmuje bezwzględną większością głosów ustawowego składu rady. Niepodjęcie uchwały o udzieleniu Prezydentowi Miasta wotum zaufania jest równoznaczne z podjęciem uchwały o nieudzieleniu wotum zaufania.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D872D6AB-8B29-4DA1-B135-0AF4B57E3582.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D872D6AB-8B29-4DA1-B135-0AF4B57E3582.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XVIII/155/25 z dnia 17 czerwca 2025 r.</dc:title>
  <dc:subject>w sprawie udzielenia wotum zaufania Prezydentowi Bytomia</dc:subject>
  <dc:creator>asteuer</dc:creator>
  <cp:lastModifiedBy>asteuer</cp:lastModifiedBy>
  <cp:revision>1</cp:revision>
  <dcterms:created xsi:type="dcterms:W3CDTF">2025-06-18T08:41:56Z</dcterms:created>
  <dcterms:modified xsi:type="dcterms:W3CDTF">2025-06-18T08:41:56Z</dcterms:modified>
  <cp:category>Akt prawny</cp:category>
</cp:coreProperties>
</file>