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11.0 -->
  <w:body>
    <w:p w:rsidR="00A77B3E">
      <w:pPr>
        <w:spacing w:line="240" w:lineRule="auto"/>
        <w:ind w:left="0"/>
        <w:jc w:val="center"/>
        <w:rPr>
          <w:rFonts w:ascii="Arial" w:eastAsia="Arial" w:hAnsi="Arial" w:cs="Arial"/>
          <w:b/>
          <w:caps/>
          <w:sz w:val="24"/>
        </w:rPr>
      </w:pPr>
      <w:r>
        <w:rPr>
          <w:rFonts w:ascii="Arial" w:eastAsia="Arial" w:hAnsi="Arial" w:cs="Arial"/>
          <w:b/>
          <w:caps/>
          <w:sz w:val="24"/>
        </w:rPr>
        <w:t>Uchwała</w:t>
      </w:r>
      <w:r>
        <w:rPr>
          <w:rFonts w:ascii="Arial" w:eastAsia="Arial" w:hAnsi="Arial" w:cs="Arial"/>
          <w:b/>
          <w:caps/>
          <w:sz w:val="24"/>
        </w:rPr>
        <w:t xml:space="preserve"> Nr LXXIII/930/23</w:t>
      </w:r>
      <w:r>
        <w:rPr>
          <w:rFonts w:ascii="Arial" w:eastAsia="Arial" w:hAnsi="Arial" w:cs="Arial"/>
          <w:b/>
          <w:caps/>
          <w:sz w:val="24"/>
        </w:rPr>
        <w:br/>
      </w:r>
      <w:r>
        <w:rPr>
          <w:rFonts w:ascii="Arial" w:eastAsia="Arial" w:hAnsi="Arial" w:cs="Arial"/>
          <w:b/>
          <w:caps/>
          <w:sz w:val="24"/>
        </w:rPr>
        <w:t>Rady Miejskiej w Bytomiu</w:t>
      </w:r>
    </w:p>
    <w:p w:rsidR="00A77B3E">
      <w:pPr>
        <w:spacing w:before="280" w:after="280" w:line="240" w:lineRule="auto"/>
        <w:ind w:left="0"/>
        <w:jc w:val="center"/>
        <w:rPr>
          <w:rFonts w:ascii="Arial" w:eastAsia="Arial" w:hAnsi="Arial" w:cs="Arial"/>
          <w:b/>
          <w:caps/>
          <w:sz w:val="24"/>
        </w:rPr>
      </w:pPr>
      <w:r>
        <w:rPr>
          <w:rFonts w:ascii="Arial" w:eastAsia="Arial" w:hAnsi="Arial" w:cs="Arial"/>
          <w:b w:val="0"/>
          <w:caps w:val="0"/>
          <w:sz w:val="24"/>
        </w:rPr>
        <w:t>z dnia 30 stycznia 2023 r.</w:t>
      </w:r>
    </w:p>
    <w:p w:rsidR="00A77B3E">
      <w:pPr>
        <w:keepNext/>
        <w:spacing w:before="0" w:after="480" w:line="240" w:lineRule="auto"/>
        <w:ind w:left="0" w:right="0" w:firstLine="0"/>
        <w:jc w:val="center"/>
        <w:rPr>
          <w:rFonts w:ascii="Arial" w:eastAsia="Arial" w:hAnsi="Arial" w:cs="Arial"/>
          <w:b w:val="0"/>
          <w:caps w:val="0"/>
          <w:strike w:val="0"/>
          <w:color w:val="auto"/>
          <w:sz w:val="24"/>
          <w:u w:val="none"/>
        </w:rPr>
      </w:pPr>
      <w:r>
        <w:rPr>
          <w:rFonts w:ascii="Arial" w:eastAsia="Arial" w:hAnsi="Arial" w:cs="Arial"/>
          <w:b/>
          <w:caps w:val="0"/>
          <w:sz w:val="24"/>
        </w:rPr>
        <w:t>w sprawie przyjęcia Strategii Rozwoju Miasta Bytomia „Bytom 2030+”</w:t>
      </w:r>
    </w:p>
    <w:p w:rsidR="00A77B3E">
      <w:pPr>
        <w:keepNext w:val="0"/>
        <w:keepLines/>
        <w:spacing w:before="120" w:after="120" w:line="240"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Na podstawie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10f 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4 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marca 1990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gminnym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559,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 uchwala się, co następuje:</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1. </w:t>
      </w:r>
      <w:r>
        <w:rPr>
          <w:rFonts w:ascii="Arial" w:eastAsia="Arial" w:hAnsi="Arial" w:cs="Arial"/>
          <w:b w:val="0"/>
          <w:caps w:val="0"/>
          <w:strike w:val="0"/>
          <w:color w:val="auto"/>
          <w:sz w:val="24"/>
          <w:u w:val="none"/>
        </w:rPr>
        <w:t>Przyjmuje się Strategię Rozwoju Miasta Bytomia „Bytom 2030+” stanowiącą załącznik do niniejszej uchwały.</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2. </w:t>
      </w:r>
      <w:r>
        <w:rPr>
          <w:rFonts w:ascii="Arial" w:eastAsia="Arial" w:hAnsi="Arial" w:cs="Arial"/>
          <w:b w:val="0"/>
          <w:caps w:val="0"/>
          <w:strike w:val="0"/>
          <w:color w:val="auto"/>
          <w:sz w:val="24"/>
          <w:u w:val="none"/>
        </w:rPr>
        <w:t>Wykonanie uchwały powierza się Prezydentowi Miasta.</w:t>
      </w:r>
    </w:p>
    <w:p w:rsidR="00A77B3E">
      <w:pPr>
        <w:keepNext/>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3. </w:t>
      </w:r>
      <w:r>
        <w:rPr>
          <w:rFonts w:ascii="Arial" w:eastAsia="Arial" w:hAnsi="Arial" w:cs="Arial"/>
          <w:b w:val="0"/>
          <w:caps w:val="0"/>
          <w:strike w:val="0"/>
          <w:color w:val="auto"/>
          <w:sz w:val="24"/>
          <w:u w:val="none"/>
        </w:rPr>
        <w:t>Uchwała wchodzi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życie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dniem podjęcia.</w:t>
      </w:r>
    </w:p>
    <w:p w:rsidR="00A77B3E">
      <w:pPr>
        <w:keepNext/>
        <w:keepLines/>
        <w:spacing w:before="120" w:after="120" w:line="240" w:lineRule="auto"/>
        <w:ind w:left="0" w:right="0" w:firstLine="340"/>
        <w:jc w:val="left"/>
        <w:rPr>
          <w:rFonts w:ascii="Arial" w:eastAsia="Arial" w:hAnsi="Arial" w:cs="Arial"/>
          <w:b w:val="0"/>
          <w:caps w:val="0"/>
          <w:strike w:val="0"/>
          <w:color w:val="auto"/>
          <w:sz w:val="24"/>
          <w:u w:val="none"/>
        </w:rPr>
      </w:pPr>
    </w:p>
    <w:p w:rsidR="00A77B3E">
      <w:pPr>
        <w:keepNext/>
        <w:spacing w:before="0" w:after="0"/>
        <w:rPr>
          <w:rFonts w:ascii="Arial" w:eastAsia="Arial" w:hAnsi="Arial" w:cs="Arial"/>
          <w:b w:val="0"/>
          <w:i w:val="0"/>
          <w:caps w:val="0"/>
          <w:strike w:val="0"/>
          <w:color w:val="auto"/>
          <w:sz w:val="24"/>
          <w:u w:val="none"/>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4933"/>
        <w:gridCol w:w="4933"/>
      </w:tblGrid>
      <w:tr>
        <w:tblPrEx>
          <w:tblW w:w="5000" w:type="pct"/>
          <w:tblCellMar>
            <w:top w:w="0" w:type="dxa"/>
            <w:left w:w="0" w:type="dxa"/>
            <w:bottom w:w="0" w:type="dxa"/>
            <w:right w:w="0" w:type="dxa"/>
          </w:tblCellMar>
        </w:tblPrEx>
        <w:tc>
          <w:tcPr>
            <w:tcW w:w="2500" w:type="pct"/>
            <w:noWrap w:val="0"/>
            <w:tcMar>
              <w:top w:w="0" w:type="dxa"/>
              <w:left w:w="0" w:type="dxa"/>
              <w:bottom w:w="0" w:type="dxa"/>
              <w:right w:w="0" w:type="dxa"/>
            </w:tcMar>
            <w:vAlign w:val="top"/>
            <w:hideMark/>
          </w:tcPr>
          <w:p>
            <w:pPr>
              <w:keepNext/>
              <w:keepLines/>
              <w:jc w:val="left"/>
              <w:rPr>
                <w:rFonts w:ascii="Arial" w:eastAsia="Arial" w:hAnsi="Arial" w:cs="Arial"/>
                <w:b w:val="0"/>
                <w:bCs w:val="0"/>
                <w:i w:val="0"/>
                <w:iCs w:val="0"/>
                <w:smallCaps w:val="0"/>
                <w:color w:val="000000"/>
                <w:sz w:val="24"/>
              </w:rPr>
            </w:pPr>
          </w:p>
        </w:tc>
        <w:tc>
          <w:tcPr>
            <w:tcW w:w="2500" w:type="pct"/>
            <w:noWrap w:val="0"/>
            <w:tcMar>
              <w:top w:w="0" w:type="dxa"/>
              <w:left w:w="0" w:type="dxa"/>
              <w:bottom w:w="0" w:type="dxa"/>
              <w:right w:w="0" w:type="dxa"/>
            </w:tcMar>
            <w:vAlign w:val="top"/>
            <w:hideMark/>
          </w:tcPr>
          <w:p>
            <w:pPr>
              <w:keepNext/>
              <w:keepLines/>
              <w:spacing w:before="100" w:after="40"/>
              <w:ind w:left="1134" w:right="1134" w:firstLine="0"/>
              <w:jc w:val="center"/>
              <w:rPr>
                <w:rFonts w:ascii="Arial" w:eastAsia="Arial" w:hAnsi="Arial" w:cs="Arial"/>
                <w:b w:val="0"/>
                <w:bCs w:val="0"/>
                <w:i w:val="0"/>
                <w:iCs w:val="0"/>
                <w:smallCaps w:val="0"/>
                <w:color w:val="000000"/>
                <w:sz w:val="24"/>
              </w:rPr>
            </w:pPr>
            <w:r>
              <w:rPr>
                <w:rFonts w:ascii="Arial" w:eastAsia="Arial" w:hAnsi="Arial" w:cs="Arial"/>
                <w:b w:val="0"/>
                <w:bCs w:val="0"/>
                <w:i w:val="0"/>
                <w:iCs w:val="0"/>
                <w:smallCaps w:val="0"/>
                <w:color w:val="000000"/>
                <w:sz w:val="24"/>
              </w:rPr>
              <w:t>Przewodniczący Rady Miejskiej</w:t>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b/>
                <w:i w:val="0"/>
              </w:rPr>
              <w:t>Michał Staniszewski</w:t>
            </w:r>
          </w:p>
        </w:tc>
      </w:tr>
    </w:tbl>
    <w:p w:rsidR="00A77B3E">
      <w:pPr>
        <w:keepNext/>
        <w:spacing w:before="0" w:after="0"/>
        <w:rPr>
          <w:rFonts w:ascii="Arial" w:eastAsia="Arial" w:hAnsi="Arial" w:cs="Arial"/>
          <w:b w:val="0"/>
          <w:i w:val="0"/>
          <w:caps w:val="0"/>
          <w:strike w:val="0"/>
          <w:color w:val="auto"/>
          <w:sz w:val="24"/>
          <w:u w:val="none"/>
          <w:vertAlign w:val="baseline"/>
        </w:rPr>
        <w:sectPr>
          <w:footerReference w:type="default" r:id="rId4"/>
          <w:endnotePr>
            <w:numFmt w:val="decimal"/>
          </w:endnotePr>
          <w:pgSz w:w="11906" w:h="16838"/>
          <w:pgMar w:top="1417" w:right="1020" w:bottom="992" w:left="1020" w:header="708" w:footer="708" w:gutter="0"/>
          <w:cols w:space="708"/>
          <w:docGrid w:linePitch="360"/>
        </w:sectPr>
      </w:pPr>
    </w:p>
    <w:p w:rsidR="00A77B3E">
      <w:pPr>
        <w:keepNext/>
        <w:spacing w:before="280" w:after="280" w:line="276" w:lineRule="auto"/>
        <w:ind w:left="4535" w:right="0" w:firstLine="0"/>
        <w:jc w:val="left"/>
        <w:rPr>
          <w:rFonts w:ascii="Arial" w:eastAsia="Arial" w:hAnsi="Arial" w:cs="Arial"/>
          <w:b w:val="0"/>
          <w:i w:val="0"/>
          <w:caps w:val="0"/>
          <w:strike w:val="0"/>
          <w:color w:val="auto"/>
          <w:sz w:val="24"/>
          <w:u w:val="none"/>
          <w:vertAlign w:val="baseline"/>
        </w:rPr>
        <w:sectPr>
          <w:footerReference w:type="default" r:id="rId5"/>
          <w:endnotePr>
            <w:numFmt w:val="decimal"/>
          </w:endnotePr>
          <w:type w:val="nextPage"/>
          <w:pgSz w:w="11906" w:h="16838"/>
          <w:pgMar w:top="1417" w:right="1020" w:bottom="992" w:left="1020" w:header="708" w:footer="708" w:gutter="0"/>
          <w:cols w:space="708"/>
          <w:docGrid w:linePitch="360"/>
        </w:sectPr>
      </w:pPr>
      <w:r>
        <w:t>Załącznik do uchwały</w:t>
      </w:r>
      <w:r>
        <w:rPr>
          <w:rFonts w:ascii="Arial" w:eastAsia="Arial" w:hAnsi="Arial" w:cs="Arial"/>
          <w:b w:val="0"/>
          <w:i w:val="0"/>
          <w:caps w:val="0"/>
          <w:strike w:val="0"/>
          <w:color w:val="auto"/>
          <w:sz w:val="24"/>
          <w:u w:val="none"/>
          <w:vertAlign w:val="baseline"/>
        </w:rPr>
        <w:t xml:space="preserve"> Nr LXXIII/930/23</w:t>
      </w:r>
      <w:r>
        <w:rPr>
          <w:rFonts w:ascii="Arial" w:eastAsia="Arial" w:hAnsi="Arial" w:cs="Arial"/>
          <w:b w:val="0"/>
          <w:i w:val="0"/>
          <w:caps w:val="0"/>
          <w:strike w:val="0"/>
          <w:color w:val="auto"/>
          <w:sz w:val="24"/>
          <w:u w:val="none"/>
          <w:vertAlign w:val="baseline"/>
        </w:rPr>
        <w:br/>
      </w:r>
      <w:r>
        <w:t>Rady Miejskiej w Bytomiu</w:t>
      </w:r>
      <w:r>
        <w:rPr>
          <w:rFonts w:ascii="Arial" w:eastAsia="Arial" w:hAnsi="Arial" w:cs="Arial"/>
          <w:b w:val="0"/>
          <w:i w:val="0"/>
          <w:caps w:val="0"/>
          <w:strike w:val="0"/>
          <w:color w:val="auto"/>
          <w:sz w:val="24"/>
          <w:u w:val="none"/>
          <w:vertAlign w:val="baseline"/>
        </w:rPr>
        <w:br/>
      </w:r>
      <w:r>
        <w:rPr>
          <w:rFonts w:ascii="Arial" w:eastAsia="Arial" w:hAnsi="Arial" w:cs="Arial"/>
          <w:sz w:val="24"/>
        </w:rPr>
        <w:t>z dnia 30 stycznia 2023 r.</w:t>
      </w:r>
      <w:r>
        <w:rPr>
          <w:rFonts w:ascii="Arial" w:eastAsia="Arial" w:hAnsi="Arial" w:cs="Arial"/>
          <w:b w:val="0"/>
          <w:i w:val="0"/>
          <w:caps w:val="0"/>
          <w:strike w:val="0"/>
          <w:color w:val="auto"/>
          <w:sz w:val="24"/>
          <w:u w:val="none"/>
          <w:vertAlign w:val="baseline"/>
        </w:rPr>
        <w:br/>
      </w:r>
      <w:hyperlink r:id="rId6" w:history="1">
        <w:r>
          <w:rPr>
            <w:rStyle w:val="Hyperlink"/>
            <w:rFonts w:ascii="Arial" w:eastAsia="Arial" w:hAnsi="Arial" w:cs="Arial"/>
            <w:b w:val="0"/>
            <w:i w:val="0"/>
            <w:caps w:val="0"/>
            <w:strike w:val="0"/>
            <w:color w:val="auto"/>
            <w:sz w:val="24"/>
            <w:u w:val="none"/>
            <w:vertAlign w:val="baseline"/>
          </w:rPr>
          <w:t>Zalacznik1.pdf</w:t>
        </w:r>
      </w:hyperlink>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Cs w:val="20"/>
        </w:rPr>
      </w:pPr>
      <w:r>
        <w:rPr>
          <w:rFonts w:eastAsia="Times New Roman" w:cs="Times New Roman"/>
          <w:caps/>
          <w:szCs w:val="20"/>
        </w:rPr>
        <w:t>Uzasadnienie</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Strategia Rozwoju Miasta Bytomia „Bytom 2030+” stanowi istotny dokument planowania rozwoju lokalnego, określający kluczowe kierunki rozwoju miasta. Wskazuje wizję, cele strategiczne i operacyjne oraz kierunki działań wyznaczone do realizacji w okresie jej obowiązywania. Opracowanie strategii pozwala określić najbardziej efektywne działania gwarantujące skuteczny rozwój całego obszaru, co bezpośrednio wpływa na rozwój infrastruktury, przedsiębiorczości oraz powstanie nowych inicjatyw społecznych. Podczas opracowywania strategii przyjęto zasadę wykorzystania potencjału miasta</w:t>
      </w:r>
      <w:r>
        <w:rPr>
          <w:rFonts w:eastAsia="Times New Roman" w:cs="Times New Roman"/>
          <w:szCs w:val="20"/>
        </w:rPr>
        <w:t xml:space="preserve"> </w:t>
      </w:r>
      <w:r>
        <w:rPr>
          <w:rFonts w:eastAsia="Times New Roman" w:cs="Times New Roman"/>
          <w:szCs w:val="20"/>
        </w:rPr>
        <w:t>i otoczenia. Strategia Rozwoju Miasta Bytomia „Bytom 2030+” wpisuje się w strategiczne myślenie widoczne we wcześniejszych opracowaniach tego typu. Jest spójna</w:t>
      </w:r>
      <w:r>
        <w:rPr>
          <w:rFonts w:eastAsia="Times New Roman" w:cs="Times New Roman"/>
          <w:szCs w:val="20"/>
        </w:rPr>
        <w:t xml:space="preserve"> </w:t>
      </w:r>
      <w:r>
        <w:rPr>
          <w:rFonts w:eastAsia="Times New Roman" w:cs="Times New Roman"/>
          <w:szCs w:val="20"/>
        </w:rPr>
        <w:t xml:space="preserve">z wytycznymi unijnymi w obecnym ich kształcie i koresponduje z dokumentami planistycznymi różnych szczebli, w tym m.in.: Europejskim Zielonym Ładem, Strategią na rzecz Odpowiedzialnego Rozwoju do roku 2020 (z perspektywą do 2030 r.), Krajową Strategią Rozwoju Regionalnego 2030, Koncepcją Przestrzennego Zagospodarowania Kraju 2030, Regionalnym Programem Operacyjnym Województwa Śląskiego na lata 2014 -2020, Planem Zagospodarowania Przestrzennego Województwa Śląskiego 2020+, Strategią Rozwoju Województwa Śląskiego „Śląskie 2030” </w:t>
      </w:r>
      <w:r>
        <w:rPr>
          <w:rFonts w:eastAsia="Times New Roman" w:cs="Times New Roman"/>
          <w:szCs w:val="20"/>
        </w:rPr>
        <w:t>–</w:t>
      </w:r>
      <w:r>
        <w:rPr>
          <w:rFonts w:eastAsia="Times New Roman" w:cs="Times New Roman"/>
          <w:szCs w:val="20"/>
        </w:rPr>
        <w:t xml:space="preserve"> Zielone Śląskie oraz innymi dokumentami planistycznymi Bytomia.</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W dniach od 26 września do 31 października 2022 r. przeprowadzono konsultacje dokumentu projekt Strategii Rozwoju Miasta Bytomia „Bytom 2030+” zgodnie z zasadami oraz w trybie określonym w uchwale nr XL/556/21 Rady Miejskiej w Bytomiu z dnia 22 lutego 2021 r. w sprawie określenia szczegółowego trybu i harmonogramu opracowania projektu „Strategii Rozwoju Miasta Bytomia na lata 2021-2030”.</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Zgodnie z obowiązującymi przepisami, ww projekt został pozytywnie zaopiniowany przez sąsiednie gminy, dyrektora Regionalnego Zarządu Gospodarki Wodnej Państwowego Gospodarstwa Wodnego Wody Polskie oraz przez Zarząd Województwa Śląskiego.</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Na potrzeby Strategii Rozwoju Miasta Bytomia „Bytom 2030+”, po uzgodnieniu</w:t>
      </w:r>
      <w:r>
        <w:rPr>
          <w:rFonts w:eastAsia="Times New Roman" w:cs="Times New Roman"/>
          <w:szCs w:val="20"/>
        </w:rPr>
        <w:t xml:space="preserve"> </w:t>
      </w:r>
      <w:r>
        <w:rPr>
          <w:rFonts w:eastAsia="Times New Roman" w:cs="Times New Roman"/>
          <w:szCs w:val="20"/>
        </w:rPr>
        <w:t>z właściwymi organami tj. Regionalnym Dyrektorem Ochrony Środowiska w Katowicach oraz Państwowym Wojewódzkim Inspektorem Sanitarnym w Katowicach odstąpiono od przeprowadzenia strategicznej oceny oddziaływania na środowisko.</w:t>
      </w:r>
    </w:p>
    <w:sectPr>
      <w:footerReference w:type="default" r:id="rId7"/>
      <w:endnotePr>
        <w:numFmt w:val="decimal"/>
      </w:endnotePr>
      <w:type w:val="nextPage"/>
      <w:pgSz w:w="11906" w:h="16838" w:code="0"/>
      <w:pgMar w:top="1417" w:right="1020" w:bottom="992" w:left="102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A0F4B4BD-FE91-4B62-8495-323813C19F8E.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A0F4B4BD-FE91-4B62-8495-323813C19F8E.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A0F4B4BD-FE91-4B62-8495-323813C19F8E.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Arial" w:eastAsia="Arial" w:hAnsi="Arial" w:cs="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hyperlink" Target="Zalacznik1.pdf" TargetMode="Externa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LXXIII/930/23 z dnia 30 stycznia 2023 r.</dc:title>
  <dc:subject>w sprawie przyjęcia Strategii Rozwoju Miasta Bytomia „Bytom 2030+”</dc:subject>
  <dc:creator>masocha</dc:creator>
  <cp:lastModifiedBy>masocha</cp:lastModifiedBy>
  <cp:revision>1</cp:revision>
  <dcterms:created xsi:type="dcterms:W3CDTF">2023-02-01T11:27:45Z</dcterms:created>
  <dcterms:modified xsi:type="dcterms:W3CDTF">2023-02-01T11:27:45Z</dcterms:modified>
  <cp:category>Akt prawny</cp:category>
</cp:coreProperties>
</file>