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6718" w:rsidRPr="001B1A30" w:rsidRDefault="00C96718" w:rsidP="00C96718">
      <w:pPr>
        <w:spacing w:line="360" w:lineRule="auto"/>
        <w:rPr>
          <w:rFonts w:ascii="Arial" w:hAnsi="Arial" w:cs="Arial"/>
          <w:b/>
        </w:rPr>
      </w:pPr>
      <w:r w:rsidRPr="001B1A30">
        <w:rPr>
          <w:rFonts w:ascii="Arial" w:hAnsi="Arial" w:cs="Arial"/>
          <w:b/>
        </w:rPr>
        <w:t>ZK.4120.18.2025</w:t>
      </w:r>
    </w:p>
    <w:p w:rsidR="00C96718" w:rsidRPr="001B1A30" w:rsidRDefault="00C96718" w:rsidP="00C96718">
      <w:pPr>
        <w:spacing w:line="360" w:lineRule="auto"/>
        <w:jc w:val="center"/>
        <w:rPr>
          <w:rFonts w:ascii="Arial" w:hAnsi="Arial" w:cs="Arial"/>
          <w:b/>
        </w:rPr>
      </w:pPr>
      <w:r w:rsidRPr="001B1A30">
        <w:rPr>
          <w:rFonts w:ascii="Arial" w:hAnsi="Arial" w:cs="Arial"/>
          <w:b/>
        </w:rPr>
        <w:t>ZAWIADOMIENIE</w:t>
      </w:r>
    </w:p>
    <w:p w:rsidR="00C96718" w:rsidRPr="001B1A30" w:rsidRDefault="00C96718" w:rsidP="00C96718">
      <w:pPr>
        <w:spacing w:after="240" w:line="360" w:lineRule="auto"/>
        <w:jc w:val="center"/>
        <w:rPr>
          <w:rFonts w:ascii="Arial" w:hAnsi="Arial" w:cs="Arial"/>
          <w:b/>
        </w:rPr>
      </w:pPr>
      <w:r w:rsidRPr="001B1A30">
        <w:rPr>
          <w:rFonts w:ascii="Arial" w:hAnsi="Arial" w:cs="Arial"/>
          <w:b/>
        </w:rPr>
        <w:t xml:space="preserve">PREZYDENTA </w:t>
      </w:r>
      <w:r>
        <w:rPr>
          <w:rFonts w:ascii="Arial" w:hAnsi="Arial" w:cs="Arial"/>
          <w:b/>
        </w:rPr>
        <w:t>BYTOMIA</w:t>
      </w:r>
    </w:p>
    <w:p w:rsidR="00C96718" w:rsidRDefault="00C96718" w:rsidP="00C96718">
      <w:pPr>
        <w:autoSpaceDE w:val="0"/>
        <w:autoSpaceDN w:val="0"/>
        <w:adjustRightInd w:val="0"/>
        <w:spacing w:after="240" w:line="360" w:lineRule="auto"/>
        <w:jc w:val="both"/>
        <w:rPr>
          <w:rFonts w:ascii="Arial" w:hAnsi="Arial" w:cs="Arial"/>
          <w:sz w:val="22"/>
          <w:szCs w:val="22"/>
        </w:rPr>
      </w:pPr>
      <w:r>
        <w:rPr>
          <w:rFonts w:ascii="Arial" w:hAnsi="Arial" w:cs="Arial"/>
          <w:sz w:val="22"/>
          <w:szCs w:val="22"/>
        </w:rPr>
        <w:t>Na podstawie</w:t>
      </w:r>
      <w:r w:rsidRPr="00586713">
        <w:rPr>
          <w:rFonts w:ascii="Arial" w:hAnsi="Arial" w:cs="Arial"/>
          <w:sz w:val="22"/>
          <w:szCs w:val="22"/>
        </w:rPr>
        <w:t xml:space="preserve"> </w:t>
      </w:r>
      <w:r w:rsidRPr="00A463AD">
        <w:rPr>
          <w:rFonts w:ascii="Arial" w:hAnsi="Arial" w:cs="Arial"/>
          <w:sz w:val="22"/>
          <w:szCs w:val="22"/>
        </w:rPr>
        <w:t xml:space="preserve">§ 18b ust. </w:t>
      </w:r>
      <w:r w:rsidRPr="00586713">
        <w:rPr>
          <w:rFonts w:ascii="Arial" w:hAnsi="Arial" w:cs="Arial"/>
          <w:sz w:val="22"/>
          <w:szCs w:val="22"/>
        </w:rPr>
        <w:t>1</w:t>
      </w:r>
      <w:r>
        <w:rPr>
          <w:rFonts w:ascii="Arial" w:hAnsi="Arial" w:cs="Arial"/>
          <w:sz w:val="22"/>
          <w:szCs w:val="22"/>
        </w:rPr>
        <w:t>-4</w:t>
      </w:r>
      <w:r w:rsidRPr="00586713">
        <w:rPr>
          <w:rFonts w:ascii="Arial" w:hAnsi="Arial" w:cs="Arial"/>
          <w:sz w:val="22"/>
          <w:szCs w:val="22"/>
        </w:rPr>
        <w:t xml:space="preserve"> </w:t>
      </w:r>
      <w:r w:rsidRPr="00A463AD">
        <w:rPr>
          <w:rFonts w:ascii="Arial" w:hAnsi="Arial" w:cs="Arial"/>
          <w:sz w:val="22"/>
          <w:szCs w:val="22"/>
        </w:rPr>
        <w:t xml:space="preserve">Rozporządzenia Ministra Kultury i Dziedzictwa Narodowego </w:t>
      </w:r>
      <w:r>
        <w:rPr>
          <w:rFonts w:ascii="Arial" w:hAnsi="Arial" w:cs="Arial"/>
          <w:sz w:val="22"/>
          <w:szCs w:val="22"/>
        </w:rPr>
        <w:br/>
      </w:r>
      <w:r w:rsidRPr="00A463AD">
        <w:rPr>
          <w:rFonts w:ascii="Arial" w:hAnsi="Arial" w:cs="Arial"/>
          <w:sz w:val="22"/>
          <w:szCs w:val="22"/>
        </w:rPr>
        <w:t xml:space="preserve">z dnia 26 maja 2011 r. w sprawie prowadzenia rejestru zabytków, krajowej, wojewódzkiej </w:t>
      </w:r>
      <w:r>
        <w:rPr>
          <w:rFonts w:ascii="Arial" w:hAnsi="Arial" w:cs="Arial"/>
          <w:sz w:val="22"/>
          <w:szCs w:val="22"/>
        </w:rPr>
        <w:br/>
      </w:r>
      <w:r w:rsidRPr="00A463AD">
        <w:rPr>
          <w:rFonts w:ascii="Arial" w:hAnsi="Arial" w:cs="Arial"/>
          <w:sz w:val="22"/>
          <w:szCs w:val="22"/>
        </w:rPr>
        <w:t xml:space="preserve">i gminnej ewidencji zabytków oraz krajowego wykazu zabytków skradzionych </w:t>
      </w:r>
      <w:r>
        <w:rPr>
          <w:rFonts w:ascii="Arial" w:hAnsi="Arial" w:cs="Arial"/>
          <w:sz w:val="22"/>
          <w:szCs w:val="22"/>
        </w:rPr>
        <w:br/>
      </w:r>
      <w:r w:rsidRPr="00A463AD">
        <w:rPr>
          <w:rFonts w:ascii="Arial" w:hAnsi="Arial" w:cs="Arial"/>
          <w:sz w:val="22"/>
          <w:szCs w:val="22"/>
        </w:rPr>
        <w:t xml:space="preserve">lub wywiezionych za granicę niezgodnie z prawem, zwanego dalej „rozporządzeniem" </w:t>
      </w:r>
      <w:r>
        <w:rPr>
          <w:rFonts w:ascii="Arial" w:hAnsi="Arial" w:cs="Arial"/>
          <w:sz w:val="22"/>
          <w:szCs w:val="22"/>
        </w:rPr>
        <w:br/>
      </w:r>
      <w:r w:rsidRPr="00A463AD">
        <w:rPr>
          <w:rFonts w:ascii="Arial" w:hAnsi="Arial" w:cs="Arial"/>
          <w:sz w:val="22"/>
          <w:szCs w:val="22"/>
        </w:rPr>
        <w:t>(Dz.</w:t>
      </w:r>
      <w:r>
        <w:rPr>
          <w:rFonts w:ascii="Arial" w:hAnsi="Arial" w:cs="Arial"/>
          <w:sz w:val="22"/>
          <w:szCs w:val="22"/>
        </w:rPr>
        <w:t xml:space="preserve"> </w:t>
      </w:r>
      <w:r w:rsidRPr="00A463AD">
        <w:rPr>
          <w:rFonts w:ascii="Arial" w:hAnsi="Arial" w:cs="Arial"/>
          <w:sz w:val="22"/>
          <w:szCs w:val="22"/>
        </w:rPr>
        <w:t xml:space="preserve">U. z 2021 r. poz. 56), w nawiązaniu do art. 22 ust. 4 ustawy z dnia 23 lipca 2003 r. </w:t>
      </w:r>
      <w:r>
        <w:rPr>
          <w:rFonts w:ascii="Arial" w:hAnsi="Arial" w:cs="Arial"/>
          <w:sz w:val="22"/>
          <w:szCs w:val="22"/>
        </w:rPr>
        <w:br/>
      </w:r>
      <w:r w:rsidRPr="00A463AD">
        <w:rPr>
          <w:rFonts w:ascii="Arial" w:hAnsi="Arial" w:cs="Arial"/>
          <w:sz w:val="22"/>
          <w:szCs w:val="22"/>
        </w:rPr>
        <w:t>o ochronie zabytków i opiece nad zabytkami (Dz.</w:t>
      </w:r>
      <w:r>
        <w:rPr>
          <w:rFonts w:ascii="Arial" w:hAnsi="Arial" w:cs="Arial"/>
          <w:sz w:val="22"/>
          <w:szCs w:val="22"/>
        </w:rPr>
        <w:t xml:space="preserve"> </w:t>
      </w:r>
      <w:r w:rsidRPr="00A463AD">
        <w:rPr>
          <w:rFonts w:ascii="Arial" w:hAnsi="Arial" w:cs="Arial"/>
          <w:sz w:val="22"/>
          <w:szCs w:val="22"/>
        </w:rPr>
        <w:t>U. z 2024 r. poz. 1292</w:t>
      </w:r>
      <w:r>
        <w:rPr>
          <w:rFonts w:ascii="Arial" w:hAnsi="Arial" w:cs="Arial"/>
          <w:sz w:val="22"/>
          <w:szCs w:val="22"/>
        </w:rPr>
        <w:t xml:space="preserve"> z </w:t>
      </w:r>
      <w:proofErr w:type="spellStart"/>
      <w:r>
        <w:rPr>
          <w:rFonts w:ascii="Arial" w:hAnsi="Arial" w:cs="Arial"/>
          <w:sz w:val="22"/>
          <w:szCs w:val="22"/>
        </w:rPr>
        <w:t>późn</w:t>
      </w:r>
      <w:proofErr w:type="spellEnd"/>
      <w:r>
        <w:rPr>
          <w:rFonts w:ascii="Arial" w:hAnsi="Arial" w:cs="Arial"/>
          <w:sz w:val="22"/>
          <w:szCs w:val="22"/>
        </w:rPr>
        <w:t>. zm.</w:t>
      </w:r>
      <w:r w:rsidRPr="00A463AD">
        <w:rPr>
          <w:rFonts w:ascii="Arial" w:hAnsi="Arial" w:cs="Arial"/>
          <w:sz w:val="22"/>
          <w:szCs w:val="22"/>
        </w:rPr>
        <w:t>), zawiadamia o</w:t>
      </w:r>
      <w:r>
        <w:rPr>
          <w:rFonts w:ascii="Arial" w:hAnsi="Arial" w:cs="Arial"/>
          <w:sz w:val="22"/>
          <w:szCs w:val="22"/>
        </w:rPr>
        <w:t>:</w:t>
      </w:r>
      <w:r w:rsidRPr="00A463AD">
        <w:rPr>
          <w:rFonts w:ascii="Arial" w:hAnsi="Arial" w:cs="Arial"/>
          <w:sz w:val="22"/>
          <w:szCs w:val="22"/>
        </w:rPr>
        <w:t xml:space="preserve"> </w:t>
      </w:r>
    </w:p>
    <w:p w:rsidR="00C96718" w:rsidRPr="001B1A30" w:rsidRDefault="00C96718" w:rsidP="00C96718">
      <w:pPr>
        <w:spacing w:line="360" w:lineRule="auto"/>
        <w:jc w:val="both"/>
        <w:rPr>
          <w:rFonts w:ascii="Arial" w:hAnsi="Arial" w:cs="Arial"/>
          <w:b/>
          <w:sz w:val="22"/>
          <w:szCs w:val="22"/>
        </w:rPr>
      </w:pPr>
      <w:r>
        <w:rPr>
          <w:rFonts w:ascii="Arial" w:hAnsi="Arial" w:cs="Arial"/>
          <w:b/>
          <w:sz w:val="22"/>
          <w:szCs w:val="22"/>
        </w:rPr>
        <w:t>z</w:t>
      </w:r>
      <w:r w:rsidRPr="00A463AD">
        <w:rPr>
          <w:rFonts w:ascii="Arial" w:hAnsi="Arial" w:cs="Arial"/>
          <w:b/>
          <w:sz w:val="22"/>
          <w:szCs w:val="22"/>
        </w:rPr>
        <w:t>amiarze</w:t>
      </w:r>
      <w:r>
        <w:rPr>
          <w:rFonts w:ascii="Arial" w:hAnsi="Arial" w:cs="Arial"/>
          <w:b/>
          <w:sz w:val="22"/>
          <w:szCs w:val="22"/>
        </w:rPr>
        <w:t xml:space="preserve"> </w:t>
      </w:r>
      <w:r w:rsidRPr="00987C01">
        <w:rPr>
          <w:rFonts w:ascii="Arial" w:hAnsi="Arial" w:cs="Arial"/>
          <w:b/>
          <w:sz w:val="22"/>
          <w:szCs w:val="22"/>
        </w:rPr>
        <w:t xml:space="preserve">włączenia do gminnej ewidencji zabytków oraz o </w:t>
      </w:r>
      <w:r>
        <w:rPr>
          <w:rFonts w:ascii="Arial" w:hAnsi="Arial" w:cs="Arial"/>
          <w:b/>
          <w:sz w:val="22"/>
          <w:szCs w:val="22"/>
        </w:rPr>
        <w:t xml:space="preserve">zamiarze </w:t>
      </w:r>
      <w:r w:rsidRPr="00987C01">
        <w:rPr>
          <w:rFonts w:ascii="Arial" w:hAnsi="Arial" w:cs="Arial"/>
          <w:b/>
          <w:sz w:val="22"/>
          <w:szCs w:val="22"/>
        </w:rPr>
        <w:t>wykonani</w:t>
      </w:r>
      <w:r>
        <w:rPr>
          <w:rFonts w:ascii="Arial" w:hAnsi="Arial" w:cs="Arial"/>
          <w:b/>
          <w:sz w:val="22"/>
          <w:szCs w:val="22"/>
        </w:rPr>
        <w:t>a nowej</w:t>
      </w:r>
      <w:r w:rsidRPr="00987C01">
        <w:rPr>
          <w:rFonts w:ascii="Arial" w:hAnsi="Arial" w:cs="Arial"/>
          <w:b/>
          <w:sz w:val="22"/>
          <w:szCs w:val="22"/>
        </w:rPr>
        <w:t xml:space="preserve"> karty adresowej</w:t>
      </w:r>
      <w:r>
        <w:rPr>
          <w:rFonts w:ascii="Arial" w:hAnsi="Arial" w:cs="Arial"/>
          <w:b/>
          <w:sz w:val="22"/>
          <w:szCs w:val="22"/>
        </w:rPr>
        <w:t>:</w:t>
      </w:r>
    </w:p>
    <w:p w:rsidR="00C96718" w:rsidRPr="001B1A30" w:rsidRDefault="00C96718" w:rsidP="00C96718">
      <w:pPr>
        <w:pStyle w:val="Akapitzlist"/>
        <w:numPr>
          <w:ilvl w:val="0"/>
          <w:numId w:val="1"/>
        </w:numPr>
        <w:spacing w:line="360" w:lineRule="auto"/>
        <w:jc w:val="both"/>
        <w:rPr>
          <w:rFonts w:ascii="Arial" w:hAnsi="Arial" w:cs="Arial"/>
          <w:b/>
        </w:rPr>
      </w:pPr>
      <w:r w:rsidRPr="001B1A30">
        <w:rPr>
          <w:rFonts w:ascii="Arial" w:hAnsi="Arial" w:cs="Arial"/>
          <w:b/>
        </w:rPr>
        <w:t xml:space="preserve">zespołu zabudowy placu Jana III Sobieskiego i pl. Andrzeja Hiolskiego </w:t>
      </w:r>
      <w:r w:rsidRPr="001B1A30">
        <w:rPr>
          <w:rFonts w:ascii="Arial" w:hAnsi="Arial" w:cs="Arial"/>
          <w:b/>
        </w:rPr>
        <w:br/>
        <w:t xml:space="preserve">w Bytomiu, ukształtowanego w pierwszej połowie XX wieku, składającego się </w:t>
      </w:r>
      <w:r w:rsidRPr="001B1A30">
        <w:rPr>
          <w:rFonts w:ascii="Arial" w:hAnsi="Arial" w:cs="Arial"/>
          <w:b/>
        </w:rPr>
        <w:br/>
        <w:t>z budynków:</w:t>
      </w:r>
    </w:p>
    <w:p w:rsidR="00C96718" w:rsidRPr="001B1A30" w:rsidRDefault="00C96718" w:rsidP="00C96718">
      <w:pPr>
        <w:pStyle w:val="Akapitzlist"/>
        <w:numPr>
          <w:ilvl w:val="1"/>
          <w:numId w:val="2"/>
        </w:numPr>
        <w:spacing w:line="360" w:lineRule="auto"/>
        <w:jc w:val="both"/>
        <w:rPr>
          <w:rFonts w:ascii="Arial" w:hAnsi="Arial" w:cs="Arial"/>
          <w:b/>
        </w:rPr>
      </w:pPr>
      <w:r w:rsidRPr="001B1A30">
        <w:rPr>
          <w:rFonts w:ascii="Arial" w:hAnsi="Arial" w:cs="Arial"/>
          <w:b/>
        </w:rPr>
        <w:t>budynek szkoły przy pl. Jana III Sobieskiego 1,</w:t>
      </w:r>
    </w:p>
    <w:p w:rsidR="00C96718" w:rsidRPr="001B1A30" w:rsidRDefault="00C96718" w:rsidP="00C96718">
      <w:pPr>
        <w:pStyle w:val="Akapitzlist"/>
        <w:numPr>
          <w:ilvl w:val="1"/>
          <w:numId w:val="2"/>
        </w:numPr>
        <w:spacing w:line="360" w:lineRule="auto"/>
        <w:jc w:val="both"/>
        <w:rPr>
          <w:rFonts w:ascii="Arial" w:hAnsi="Arial" w:cs="Arial"/>
          <w:b/>
        </w:rPr>
      </w:pPr>
      <w:r w:rsidRPr="001B1A30">
        <w:rPr>
          <w:rFonts w:ascii="Arial" w:hAnsi="Arial" w:cs="Arial"/>
          <w:b/>
        </w:rPr>
        <w:t>budynek dawnych koszar przy ul. Jana Smolenia 35,</w:t>
      </w:r>
    </w:p>
    <w:p w:rsidR="00C96718" w:rsidRPr="001B1A30" w:rsidRDefault="00C96718" w:rsidP="00C96718">
      <w:pPr>
        <w:pStyle w:val="Akapitzlist"/>
        <w:numPr>
          <w:ilvl w:val="1"/>
          <w:numId w:val="2"/>
        </w:numPr>
        <w:spacing w:line="360" w:lineRule="auto"/>
        <w:jc w:val="both"/>
        <w:rPr>
          <w:rFonts w:ascii="Arial" w:hAnsi="Arial" w:cs="Arial"/>
          <w:b/>
        </w:rPr>
      </w:pPr>
      <w:r w:rsidRPr="001B1A30">
        <w:rPr>
          <w:rFonts w:ascii="Arial" w:hAnsi="Arial" w:cs="Arial"/>
          <w:b/>
        </w:rPr>
        <w:t>budynek dawnej wartowni i aresztu przy ul. Wojciecha Korfantego 45,</w:t>
      </w:r>
    </w:p>
    <w:p w:rsidR="00C96718" w:rsidRPr="001B1A30" w:rsidRDefault="00C96718" w:rsidP="00C96718">
      <w:pPr>
        <w:pStyle w:val="Akapitzlist"/>
        <w:numPr>
          <w:ilvl w:val="1"/>
          <w:numId w:val="2"/>
        </w:numPr>
        <w:spacing w:line="360" w:lineRule="auto"/>
        <w:jc w:val="both"/>
        <w:rPr>
          <w:rFonts w:ascii="Arial" w:hAnsi="Arial" w:cs="Arial"/>
          <w:b/>
        </w:rPr>
      </w:pPr>
      <w:r w:rsidRPr="001B1A30">
        <w:rPr>
          <w:rFonts w:ascii="Arial" w:hAnsi="Arial" w:cs="Arial"/>
          <w:b/>
        </w:rPr>
        <w:t xml:space="preserve">budynek dawn. mieszkalny urzędników koszar przy ul. Stefana Żeromskiego 44, wraz z murem od strony wschodniej (łączącym się </w:t>
      </w:r>
      <w:r w:rsidRPr="001B1A30">
        <w:rPr>
          <w:rFonts w:ascii="Arial" w:hAnsi="Arial" w:cs="Arial"/>
          <w:b/>
        </w:rPr>
        <w:br/>
        <w:t>z budynkiem dawnej wartowni i aresztu),</w:t>
      </w:r>
    </w:p>
    <w:p w:rsidR="00C96718" w:rsidRPr="001B1A30" w:rsidRDefault="00C96718" w:rsidP="00C96718">
      <w:pPr>
        <w:pStyle w:val="Akapitzlist"/>
        <w:numPr>
          <w:ilvl w:val="1"/>
          <w:numId w:val="2"/>
        </w:numPr>
        <w:spacing w:line="360" w:lineRule="auto"/>
        <w:jc w:val="both"/>
        <w:rPr>
          <w:rFonts w:ascii="Arial" w:hAnsi="Arial" w:cs="Arial"/>
          <w:b/>
        </w:rPr>
      </w:pPr>
      <w:r w:rsidRPr="001B1A30">
        <w:rPr>
          <w:rFonts w:ascii="Arial" w:hAnsi="Arial" w:cs="Arial"/>
          <w:b/>
        </w:rPr>
        <w:t>budynek dawnych warsztatów szkolnych (pierwotnie budynek koszarowy) przy ul. Stefana Żeromskiego 42,</w:t>
      </w:r>
    </w:p>
    <w:p w:rsidR="00C96718" w:rsidRPr="001B1A30" w:rsidRDefault="00C96718" w:rsidP="00C96718">
      <w:pPr>
        <w:pStyle w:val="Akapitzlist"/>
        <w:numPr>
          <w:ilvl w:val="1"/>
          <w:numId w:val="2"/>
        </w:numPr>
        <w:spacing w:line="360" w:lineRule="auto"/>
        <w:jc w:val="both"/>
        <w:rPr>
          <w:rFonts w:ascii="Arial" w:hAnsi="Arial" w:cs="Arial"/>
          <w:b/>
        </w:rPr>
      </w:pPr>
      <w:r w:rsidRPr="001B1A30">
        <w:rPr>
          <w:rFonts w:ascii="Arial" w:hAnsi="Arial" w:cs="Arial"/>
          <w:b/>
        </w:rPr>
        <w:t>budynek dawn. musztry (dom ćwiczeń) wraz z murem po jego zachodniej stronie, przy ul. Stefana Żeromskiego,</w:t>
      </w:r>
    </w:p>
    <w:p w:rsidR="00C96718" w:rsidRPr="001B1A30" w:rsidRDefault="00C96718" w:rsidP="00C96718">
      <w:pPr>
        <w:pStyle w:val="Akapitzlist"/>
        <w:numPr>
          <w:ilvl w:val="1"/>
          <w:numId w:val="2"/>
        </w:numPr>
        <w:spacing w:line="360" w:lineRule="auto"/>
        <w:jc w:val="both"/>
        <w:rPr>
          <w:rFonts w:ascii="Arial" w:hAnsi="Arial" w:cs="Arial"/>
          <w:b/>
        </w:rPr>
      </w:pPr>
      <w:r w:rsidRPr="001B1A30">
        <w:rPr>
          <w:rFonts w:ascii="Arial" w:hAnsi="Arial" w:cs="Arial"/>
          <w:b/>
        </w:rPr>
        <w:t>kamienica mieszczańska przy ul. Wojciecha Korfantego 36 / ul. Sokoła 19,</w:t>
      </w:r>
    </w:p>
    <w:p w:rsidR="00C96718" w:rsidRPr="001B1A30" w:rsidRDefault="00C96718" w:rsidP="00C96718">
      <w:pPr>
        <w:pStyle w:val="Akapitzlist"/>
        <w:numPr>
          <w:ilvl w:val="1"/>
          <w:numId w:val="2"/>
        </w:numPr>
        <w:spacing w:line="360" w:lineRule="auto"/>
        <w:jc w:val="both"/>
        <w:rPr>
          <w:rFonts w:ascii="Arial" w:hAnsi="Arial" w:cs="Arial"/>
          <w:b/>
        </w:rPr>
      </w:pPr>
      <w:r w:rsidRPr="001B1A30">
        <w:rPr>
          <w:rFonts w:ascii="Arial" w:hAnsi="Arial" w:cs="Arial"/>
          <w:b/>
        </w:rPr>
        <w:t xml:space="preserve">Dom Polski „UL” przy ul. Wojciecha Korfantego 38 (wpisany indywidualnie do rejestru zabytków decyzją z dn. 14.05.2024 r., </w:t>
      </w:r>
      <w:r>
        <w:rPr>
          <w:rFonts w:ascii="Arial" w:hAnsi="Arial" w:cs="Arial"/>
          <w:b/>
        </w:rPr>
        <w:br/>
      </w:r>
      <w:r w:rsidRPr="001B1A30">
        <w:rPr>
          <w:rFonts w:ascii="Arial" w:hAnsi="Arial" w:cs="Arial"/>
          <w:b/>
        </w:rPr>
        <w:t>nr rej. A/1399/24),</w:t>
      </w:r>
    </w:p>
    <w:p w:rsidR="00C96718" w:rsidRPr="001B1A30" w:rsidRDefault="00C96718" w:rsidP="00C96718">
      <w:pPr>
        <w:pStyle w:val="Akapitzlist"/>
        <w:numPr>
          <w:ilvl w:val="1"/>
          <w:numId w:val="2"/>
        </w:numPr>
        <w:spacing w:line="360" w:lineRule="auto"/>
        <w:jc w:val="both"/>
        <w:rPr>
          <w:rFonts w:ascii="Arial" w:hAnsi="Arial" w:cs="Arial"/>
          <w:b/>
        </w:rPr>
      </w:pPr>
      <w:r w:rsidRPr="001B1A30">
        <w:rPr>
          <w:rFonts w:ascii="Arial" w:hAnsi="Arial" w:cs="Arial"/>
          <w:b/>
        </w:rPr>
        <w:t xml:space="preserve">budynek Muzeum Górnośląskiego przy pl. Jana III Sobieskiego 2 (wpisany indywidualnie do rejestru zabytków decyzją z dn. 06.12.2022 r., </w:t>
      </w:r>
      <w:r w:rsidRPr="001B1A30">
        <w:rPr>
          <w:rFonts w:ascii="Arial" w:hAnsi="Arial" w:cs="Arial"/>
          <w:b/>
        </w:rPr>
        <w:br/>
        <w:t>nr rej. A/1097/22),</w:t>
      </w:r>
    </w:p>
    <w:p w:rsidR="00C96718" w:rsidRPr="001B1A30" w:rsidRDefault="00C96718" w:rsidP="00C96718">
      <w:pPr>
        <w:pStyle w:val="Akapitzlist"/>
        <w:numPr>
          <w:ilvl w:val="1"/>
          <w:numId w:val="2"/>
        </w:numPr>
        <w:spacing w:line="360" w:lineRule="auto"/>
        <w:jc w:val="both"/>
        <w:rPr>
          <w:rFonts w:ascii="Arial" w:hAnsi="Arial" w:cs="Arial"/>
          <w:b/>
        </w:rPr>
      </w:pPr>
      <w:r w:rsidRPr="001B1A30">
        <w:rPr>
          <w:rFonts w:ascii="Arial" w:hAnsi="Arial" w:cs="Arial"/>
          <w:b/>
        </w:rPr>
        <w:lastRenderedPageBreak/>
        <w:t xml:space="preserve">budynek dawnego Starostwa Powiatowego przy ul. Wojciecha Korfantego 34 oraz budynek powozowni (wpisane indywidualnie </w:t>
      </w:r>
      <w:r w:rsidRPr="001B1A30">
        <w:rPr>
          <w:rFonts w:ascii="Arial" w:hAnsi="Arial" w:cs="Arial"/>
          <w:b/>
        </w:rPr>
        <w:br/>
        <w:t>do rejestru zabytków decyzją z dn. 13.08.2004 r., nr rej. A/117/04),</w:t>
      </w:r>
    </w:p>
    <w:p w:rsidR="00C96718" w:rsidRPr="001B1A30" w:rsidRDefault="00C96718" w:rsidP="00C96718">
      <w:pPr>
        <w:pStyle w:val="Akapitzlist"/>
        <w:numPr>
          <w:ilvl w:val="1"/>
          <w:numId w:val="2"/>
        </w:numPr>
        <w:spacing w:line="360" w:lineRule="auto"/>
        <w:jc w:val="both"/>
        <w:rPr>
          <w:rFonts w:ascii="Arial" w:hAnsi="Arial" w:cs="Arial"/>
          <w:b/>
        </w:rPr>
      </w:pPr>
      <w:r w:rsidRPr="001B1A30">
        <w:rPr>
          <w:rFonts w:ascii="Arial" w:hAnsi="Arial" w:cs="Arial"/>
          <w:b/>
        </w:rPr>
        <w:t xml:space="preserve">ogrodzenie budynku dawnego Starostwa Powiatowego przy </w:t>
      </w:r>
      <w:r w:rsidRPr="001B1A30">
        <w:rPr>
          <w:rFonts w:ascii="Arial" w:hAnsi="Arial" w:cs="Arial"/>
          <w:b/>
        </w:rPr>
        <w:br/>
        <w:t>ul. Wojciecha Korfantego 34 (wpisane indywidualnie do rejestru zabytków decyzją z dn. 26.11.2012 r., nr rej. A/392/12),</w:t>
      </w:r>
    </w:p>
    <w:p w:rsidR="00C96718" w:rsidRPr="001B1A30" w:rsidRDefault="00C96718" w:rsidP="00C96718">
      <w:pPr>
        <w:pStyle w:val="Akapitzlist"/>
        <w:spacing w:line="360" w:lineRule="auto"/>
        <w:jc w:val="both"/>
        <w:rPr>
          <w:rFonts w:ascii="Arial" w:hAnsi="Arial" w:cs="Arial"/>
          <w:b/>
        </w:rPr>
      </w:pPr>
      <w:r w:rsidRPr="001B1A30">
        <w:rPr>
          <w:rFonts w:ascii="Arial" w:hAnsi="Arial" w:cs="Arial"/>
          <w:b/>
        </w:rPr>
        <w:t>oraz terenu działek ewidencyjnych nr:</w:t>
      </w:r>
    </w:p>
    <w:p w:rsidR="00C96718" w:rsidRPr="001B1A30" w:rsidRDefault="00C96718" w:rsidP="00C96718">
      <w:pPr>
        <w:pStyle w:val="Akapitzlist"/>
        <w:numPr>
          <w:ilvl w:val="1"/>
          <w:numId w:val="2"/>
        </w:numPr>
        <w:spacing w:line="360" w:lineRule="auto"/>
        <w:jc w:val="both"/>
        <w:rPr>
          <w:rFonts w:ascii="Arial" w:hAnsi="Arial" w:cs="Arial"/>
          <w:b/>
        </w:rPr>
      </w:pPr>
      <w:r w:rsidRPr="001B1A30">
        <w:rPr>
          <w:rFonts w:ascii="Arial" w:hAnsi="Arial" w:cs="Arial"/>
          <w:b/>
        </w:rPr>
        <w:t xml:space="preserve">263/39, 253/39, 65, 63 (w części), 282/39, 258/39, 262/39, 110/66, 108/67 </w:t>
      </w:r>
      <w:r w:rsidRPr="001B1A30">
        <w:rPr>
          <w:rFonts w:ascii="Arial" w:hAnsi="Arial" w:cs="Arial"/>
          <w:b/>
        </w:rPr>
        <w:br/>
        <w:t xml:space="preserve">(w części), 109/66, 138, 209/39, 208/39, 207/39, 206/39, 205/39. 204/39, 203/39, 202/39, ark. mapy 31, </w:t>
      </w:r>
      <w:proofErr w:type="spellStart"/>
      <w:r w:rsidRPr="001B1A30">
        <w:rPr>
          <w:rFonts w:ascii="Arial" w:hAnsi="Arial" w:cs="Arial"/>
          <w:b/>
        </w:rPr>
        <w:t>obr</w:t>
      </w:r>
      <w:proofErr w:type="spellEnd"/>
      <w:r w:rsidRPr="001B1A30">
        <w:rPr>
          <w:rFonts w:ascii="Arial" w:hAnsi="Arial" w:cs="Arial"/>
          <w:b/>
        </w:rPr>
        <w:t>. 0002, gm. m. pow. Bytom;</w:t>
      </w:r>
    </w:p>
    <w:p w:rsidR="00C96718" w:rsidRPr="001B1A30" w:rsidRDefault="00C96718" w:rsidP="00C96718">
      <w:pPr>
        <w:pStyle w:val="Akapitzlist"/>
        <w:numPr>
          <w:ilvl w:val="1"/>
          <w:numId w:val="2"/>
        </w:numPr>
        <w:spacing w:line="360" w:lineRule="auto"/>
        <w:jc w:val="both"/>
        <w:rPr>
          <w:rFonts w:ascii="Arial" w:hAnsi="Arial" w:cs="Arial"/>
          <w:b/>
        </w:rPr>
      </w:pPr>
      <w:r w:rsidRPr="001B1A30">
        <w:rPr>
          <w:rFonts w:ascii="Arial" w:hAnsi="Arial" w:cs="Arial"/>
          <w:b/>
        </w:rPr>
        <w:t xml:space="preserve">25, 169/26, 65, 64 (w części), 14426, 170/26, 168/26, 167/26, 27, 66 </w:t>
      </w:r>
      <w:r w:rsidRPr="001B1A30">
        <w:rPr>
          <w:rFonts w:ascii="Arial" w:hAnsi="Arial" w:cs="Arial"/>
          <w:b/>
        </w:rPr>
        <w:br/>
        <w:t xml:space="preserve">(w części), 79/36, 98/35, 89/35, 88/35, 97/35, 67 (w części), 74/28, </w:t>
      </w:r>
      <w:r>
        <w:rPr>
          <w:rFonts w:ascii="Arial" w:hAnsi="Arial" w:cs="Arial"/>
          <w:b/>
        </w:rPr>
        <w:br/>
      </w:r>
      <w:r w:rsidRPr="001B1A30">
        <w:rPr>
          <w:rFonts w:ascii="Arial" w:hAnsi="Arial" w:cs="Arial"/>
          <w:b/>
        </w:rPr>
        <w:t xml:space="preserve">ark. mapy 33, </w:t>
      </w:r>
      <w:proofErr w:type="spellStart"/>
      <w:r w:rsidRPr="001B1A30">
        <w:rPr>
          <w:rFonts w:ascii="Arial" w:hAnsi="Arial" w:cs="Arial"/>
          <w:b/>
        </w:rPr>
        <w:t>obr</w:t>
      </w:r>
      <w:proofErr w:type="spellEnd"/>
      <w:r w:rsidRPr="001B1A30">
        <w:rPr>
          <w:rFonts w:ascii="Arial" w:hAnsi="Arial" w:cs="Arial"/>
          <w:b/>
        </w:rPr>
        <w:t>. 0002, gm. m. pow. Bytom.</w:t>
      </w:r>
    </w:p>
    <w:p w:rsidR="00C96718" w:rsidRPr="001B1A30" w:rsidRDefault="00C96718" w:rsidP="00C96718">
      <w:pPr>
        <w:spacing w:line="360" w:lineRule="auto"/>
        <w:jc w:val="both"/>
        <w:rPr>
          <w:rFonts w:ascii="Arial" w:hAnsi="Arial" w:cs="Arial"/>
          <w:sz w:val="22"/>
        </w:rPr>
      </w:pPr>
      <w:r w:rsidRPr="001B1A30">
        <w:rPr>
          <w:rFonts w:ascii="Arial" w:hAnsi="Arial" w:cs="Arial"/>
          <w:b/>
          <w:sz w:val="22"/>
        </w:rPr>
        <w:t>w związku z jego wpisem do rejestru zabytków A/1409/24.</w:t>
      </w:r>
    </w:p>
    <w:p w:rsidR="00C96718" w:rsidRDefault="00C96718" w:rsidP="00C96718">
      <w:pPr>
        <w:spacing w:line="360" w:lineRule="auto"/>
        <w:jc w:val="both"/>
        <w:rPr>
          <w:rFonts w:ascii="Arial" w:hAnsi="Arial" w:cs="Arial"/>
          <w:sz w:val="22"/>
          <w:szCs w:val="22"/>
        </w:rPr>
      </w:pPr>
    </w:p>
    <w:p w:rsidR="00C96718" w:rsidRPr="00B37E46" w:rsidRDefault="00C96718" w:rsidP="00C96718">
      <w:pPr>
        <w:spacing w:line="360" w:lineRule="auto"/>
        <w:jc w:val="both"/>
        <w:rPr>
          <w:rFonts w:ascii="Arial" w:hAnsi="Arial" w:cs="Arial"/>
          <w:sz w:val="22"/>
        </w:rPr>
      </w:pPr>
      <w:r w:rsidRPr="00B37E46">
        <w:rPr>
          <w:rFonts w:ascii="Arial" w:hAnsi="Arial" w:cs="Arial"/>
          <w:sz w:val="22"/>
        </w:rPr>
        <w:t xml:space="preserve">Zakres wpisu do rejestru zabytków obejmuje ww. zespół zabudowy wraz </w:t>
      </w:r>
      <w:r w:rsidRPr="00B37E46">
        <w:rPr>
          <w:rFonts w:ascii="Arial" w:hAnsi="Arial" w:cs="Arial"/>
          <w:sz w:val="22"/>
        </w:rPr>
        <w:br/>
        <w:t xml:space="preserve">z ww. terenami działek ewidencyjnych – zgodnie z oznaczeniem na załączonej mapie, stanowiącej integralną część niniejszej decyzji. Zakres wpisu obejmuje również elewacje frontowe obiektów przy ul. Żołnierza Polskiego (zachodnia pierzeja ulicy), znajdujące się </w:t>
      </w:r>
      <w:r w:rsidRPr="00B37E46">
        <w:rPr>
          <w:rFonts w:ascii="Arial" w:hAnsi="Arial" w:cs="Arial"/>
          <w:sz w:val="22"/>
        </w:rPr>
        <w:br/>
        <w:t>w granicy wpisu do rejestru zabytków.</w:t>
      </w:r>
    </w:p>
    <w:p w:rsidR="00C96718" w:rsidRPr="00B37E46" w:rsidRDefault="00C96718" w:rsidP="00C96718">
      <w:pPr>
        <w:pStyle w:val="Akapitzlist"/>
        <w:numPr>
          <w:ilvl w:val="0"/>
          <w:numId w:val="1"/>
        </w:numPr>
        <w:autoSpaceDE w:val="0"/>
        <w:autoSpaceDN w:val="0"/>
        <w:adjustRightInd w:val="0"/>
        <w:spacing w:before="240" w:line="360" w:lineRule="auto"/>
        <w:jc w:val="both"/>
        <w:rPr>
          <w:rFonts w:ascii="Arial" w:hAnsi="Arial" w:cs="Arial"/>
        </w:rPr>
      </w:pPr>
      <w:r w:rsidRPr="00E75117">
        <w:rPr>
          <w:rFonts w:ascii="Arial" w:hAnsi="Arial" w:cs="Arial"/>
          <w:b/>
        </w:rPr>
        <w:t>wpisan</w:t>
      </w:r>
      <w:r>
        <w:rPr>
          <w:rFonts w:ascii="Arial" w:hAnsi="Arial" w:cs="Arial"/>
          <w:b/>
        </w:rPr>
        <w:t>ych</w:t>
      </w:r>
      <w:r w:rsidRPr="00B37E46">
        <w:rPr>
          <w:rFonts w:ascii="Arial" w:hAnsi="Arial" w:cs="Arial"/>
        </w:rPr>
        <w:t xml:space="preserve"> indywidualnie do rejestru zabytków nieruchomych województwa śląskiego nieruchomości budynkowych:</w:t>
      </w:r>
    </w:p>
    <w:p w:rsidR="00C96718" w:rsidRPr="00B37E46" w:rsidRDefault="00C96718" w:rsidP="00C96718">
      <w:pPr>
        <w:pStyle w:val="Akapitzlist"/>
        <w:numPr>
          <w:ilvl w:val="1"/>
          <w:numId w:val="1"/>
        </w:numPr>
        <w:autoSpaceDE w:val="0"/>
        <w:autoSpaceDN w:val="0"/>
        <w:adjustRightInd w:val="0"/>
        <w:spacing w:line="360" w:lineRule="auto"/>
        <w:jc w:val="both"/>
        <w:rPr>
          <w:rFonts w:ascii="Arial" w:hAnsi="Arial" w:cs="Arial"/>
        </w:rPr>
      </w:pPr>
      <w:r w:rsidRPr="00E75117">
        <w:rPr>
          <w:rFonts w:ascii="Arial" w:hAnsi="Arial" w:cs="Arial"/>
          <w:b/>
        </w:rPr>
        <w:t xml:space="preserve">kamienicy mieszczańskiej przy ul. Wojciecha Korfantego 36 / </w:t>
      </w:r>
      <w:r>
        <w:rPr>
          <w:rFonts w:ascii="Arial" w:hAnsi="Arial" w:cs="Arial"/>
          <w:b/>
        </w:rPr>
        <w:br/>
      </w:r>
      <w:r w:rsidRPr="00E75117">
        <w:rPr>
          <w:rFonts w:ascii="Arial" w:hAnsi="Arial" w:cs="Arial"/>
          <w:b/>
        </w:rPr>
        <w:t>ul. Sokoła 19 w Bytomiu</w:t>
      </w:r>
      <w:r w:rsidRPr="00B37E46">
        <w:rPr>
          <w:rFonts w:ascii="Arial" w:hAnsi="Arial" w:cs="Arial"/>
        </w:rPr>
        <w:t xml:space="preserve">, zlokalizowanej na działkach ewidencyjnych </w:t>
      </w:r>
      <w:r>
        <w:rPr>
          <w:rFonts w:ascii="Arial" w:hAnsi="Arial" w:cs="Arial"/>
        </w:rPr>
        <w:br/>
      </w:r>
      <w:r w:rsidRPr="00B37E46">
        <w:rPr>
          <w:rFonts w:ascii="Arial" w:hAnsi="Arial" w:cs="Arial"/>
        </w:rPr>
        <w:t xml:space="preserve">nr 88/35, i 97/35, ark. mapy 33, </w:t>
      </w:r>
      <w:proofErr w:type="spellStart"/>
      <w:r w:rsidRPr="00B37E46">
        <w:rPr>
          <w:rFonts w:ascii="Arial" w:hAnsi="Arial" w:cs="Arial"/>
        </w:rPr>
        <w:t>obr</w:t>
      </w:r>
      <w:proofErr w:type="spellEnd"/>
      <w:r w:rsidRPr="00B37E46">
        <w:rPr>
          <w:rFonts w:ascii="Arial" w:hAnsi="Arial" w:cs="Arial"/>
        </w:rPr>
        <w:t>. 0002, gm. m. pow. Bytom;</w:t>
      </w:r>
    </w:p>
    <w:p w:rsidR="00C96718" w:rsidRDefault="00C96718" w:rsidP="00C96718">
      <w:pPr>
        <w:pStyle w:val="Akapitzlist"/>
        <w:numPr>
          <w:ilvl w:val="1"/>
          <w:numId w:val="1"/>
        </w:numPr>
        <w:autoSpaceDE w:val="0"/>
        <w:autoSpaceDN w:val="0"/>
        <w:adjustRightInd w:val="0"/>
        <w:spacing w:line="360" w:lineRule="auto"/>
        <w:jc w:val="both"/>
        <w:rPr>
          <w:rFonts w:ascii="Arial" w:hAnsi="Arial" w:cs="Arial"/>
        </w:rPr>
      </w:pPr>
      <w:r w:rsidRPr="00E75117">
        <w:rPr>
          <w:rFonts w:ascii="Arial" w:hAnsi="Arial" w:cs="Arial"/>
          <w:b/>
        </w:rPr>
        <w:t>budynku szkoły przy pl. Jana III Sobieskiego 1 w Bytomiu</w:t>
      </w:r>
      <w:r w:rsidRPr="00E75117">
        <w:rPr>
          <w:rFonts w:ascii="Arial" w:hAnsi="Arial" w:cs="Arial"/>
        </w:rPr>
        <w:t xml:space="preserve">, zlokalizowanego na działce ewidencyjnej nr 25, ark. mapy 33, </w:t>
      </w:r>
      <w:proofErr w:type="spellStart"/>
      <w:r w:rsidRPr="00E75117">
        <w:rPr>
          <w:rFonts w:ascii="Arial" w:hAnsi="Arial" w:cs="Arial"/>
        </w:rPr>
        <w:t>obr</w:t>
      </w:r>
      <w:proofErr w:type="spellEnd"/>
      <w:r w:rsidRPr="00E75117">
        <w:rPr>
          <w:rFonts w:ascii="Arial" w:hAnsi="Arial" w:cs="Arial"/>
        </w:rPr>
        <w:t xml:space="preserve">. 0002, </w:t>
      </w:r>
      <w:r>
        <w:rPr>
          <w:rFonts w:ascii="Arial" w:hAnsi="Arial" w:cs="Arial"/>
        </w:rPr>
        <w:br/>
      </w:r>
      <w:r w:rsidRPr="00E75117">
        <w:rPr>
          <w:rFonts w:ascii="Arial" w:hAnsi="Arial" w:cs="Arial"/>
        </w:rPr>
        <w:t>gm. m. pow. Bytom;</w:t>
      </w:r>
      <w:r>
        <w:rPr>
          <w:rFonts w:ascii="Arial" w:hAnsi="Arial" w:cs="Arial"/>
        </w:rPr>
        <w:t xml:space="preserve"> </w:t>
      </w:r>
    </w:p>
    <w:p w:rsidR="00C96718" w:rsidRPr="00E75117" w:rsidRDefault="00C96718" w:rsidP="00C96718">
      <w:pPr>
        <w:pStyle w:val="Akapitzlist"/>
        <w:numPr>
          <w:ilvl w:val="1"/>
          <w:numId w:val="1"/>
        </w:numPr>
        <w:autoSpaceDE w:val="0"/>
        <w:autoSpaceDN w:val="0"/>
        <w:adjustRightInd w:val="0"/>
        <w:spacing w:line="360" w:lineRule="auto"/>
        <w:jc w:val="both"/>
        <w:rPr>
          <w:rFonts w:ascii="Arial" w:hAnsi="Arial" w:cs="Arial"/>
        </w:rPr>
      </w:pPr>
      <w:r w:rsidRPr="00E75117">
        <w:rPr>
          <w:rFonts w:ascii="Arial" w:hAnsi="Arial" w:cs="Arial"/>
          <w:b/>
        </w:rPr>
        <w:t>budynku dawnych koszar przy ul. Jana Smolenia 35 w Bytomiu</w:t>
      </w:r>
      <w:r w:rsidRPr="00E75117">
        <w:rPr>
          <w:rFonts w:ascii="Arial" w:hAnsi="Arial" w:cs="Arial"/>
        </w:rPr>
        <w:t xml:space="preserve">, zlokalizowanego na działce ewidencyjnej nr 262/29, ark. mapy 31, </w:t>
      </w:r>
      <w:proofErr w:type="spellStart"/>
      <w:r w:rsidRPr="00E75117">
        <w:rPr>
          <w:rFonts w:ascii="Arial" w:hAnsi="Arial" w:cs="Arial"/>
        </w:rPr>
        <w:t>obr</w:t>
      </w:r>
      <w:proofErr w:type="spellEnd"/>
      <w:r w:rsidRPr="00E75117">
        <w:rPr>
          <w:rFonts w:ascii="Arial" w:hAnsi="Arial" w:cs="Arial"/>
        </w:rPr>
        <w:t>. 0002, gm. m. pow. Bytom.</w:t>
      </w:r>
    </w:p>
    <w:p w:rsidR="00C96718" w:rsidRPr="00B37E46" w:rsidRDefault="00C96718" w:rsidP="00C96718">
      <w:pPr>
        <w:pStyle w:val="Akapitzlist"/>
        <w:autoSpaceDE w:val="0"/>
        <w:autoSpaceDN w:val="0"/>
        <w:adjustRightInd w:val="0"/>
        <w:spacing w:line="360" w:lineRule="auto"/>
        <w:ind w:left="0"/>
        <w:jc w:val="both"/>
        <w:rPr>
          <w:rFonts w:ascii="Arial" w:hAnsi="Arial" w:cs="Arial"/>
        </w:rPr>
      </w:pPr>
      <w:r w:rsidRPr="00B37E46">
        <w:rPr>
          <w:rFonts w:ascii="Arial" w:hAnsi="Arial" w:cs="Arial"/>
        </w:rPr>
        <w:t>Zakres wpisu do rejestru zabytków obejmuje ww. budynki w obrysie swoich murów zewnętrznych.</w:t>
      </w:r>
    </w:p>
    <w:p w:rsidR="00C96718" w:rsidRPr="001B1A30" w:rsidRDefault="00C96718" w:rsidP="00C96718">
      <w:pPr>
        <w:autoSpaceDE w:val="0"/>
        <w:autoSpaceDN w:val="0"/>
        <w:adjustRightInd w:val="0"/>
        <w:spacing w:line="360" w:lineRule="auto"/>
        <w:jc w:val="both"/>
        <w:rPr>
          <w:rFonts w:ascii="Arial" w:hAnsi="Arial" w:cs="Arial"/>
          <w:sz w:val="22"/>
          <w:szCs w:val="22"/>
        </w:rPr>
      </w:pPr>
    </w:p>
    <w:p w:rsidR="00C96718" w:rsidRDefault="00C96718" w:rsidP="00C96718">
      <w:pPr>
        <w:spacing w:line="360" w:lineRule="auto"/>
        <w:jc w:val="both"/>
        <w:rPr>
          <w:rFonts w:ascii="Arial" w:hAnsi="Arial" w:cs="Arial"/>
          <w:sz w:val="22"/>
          <w:szCs w:val="22"/>
        </w:rPr>
      </w:pPr>
      <w:r w:rsidRPr="00987C01">
        <w:rPr>
          <w:rFonts w:ascii="Arial" w:hAnsi="Arial" w:cs="Arial"/>
          <w:sz w:val="22"/>
          <w:szCs w:val="22"/>
        </w:rPr>
        <w:lastRenderedPageBreak/>
        <w:t xml:space="preserve">Zainteresowani mogą zapoznać się z niezbędną dokumentacją sprawy w Wydziale Miejskiego Konserwatora Zabytków (pokój 230) Urzędu Miejskiego w Bytomiu </w:t>
      </w:r>
      <w:r w:rsidRPr="00987C01">
        <w:rPr>
          <w:rFonts w:ascii="Arial" w:hAnsi="Arial" w:cs="Arial"/>
          <w:sz w:val="22"/>
          <w:szCs w:val="22"/>
        </w:rPr>
        <w:br/>
        <w:t>w godzinach od 9.00 do 12.00 w dniach pracy tut. Urzędu. Dodatkowych informacji udziela Pani Małgorzata Młynek, tel. 32 283 62 39.</w:t>
      </w:r>
    </w:p>
    <w:p w:rsidR="00C96718" w:rsidRDefault="00C96718" w:rsidP="00C96718">
      <w:pPr>
        <w:autoSpaceDE w:val="0"/>
        <w:autoSpaceDN w:val="0"/>
        <w:adjustRightInd w:val="0"/>
        <w:spacing w:before="240" w:line="360" w:lineRule="auto"/>
        <w:jc w:val="both"/>
        <w:rPr>
          <w:rFonts w:ascii="Arial" w:hAnsi="Arial" w:cs="Arial"/>
          <w:sz w:val="22"/>
          <w:szCs w:val="22"/>
        </w:rPr>
      </w:pPr>
      <w:r w:rsidRPr="00B60981">
        <w:rPr>
          <w:rFonts w:ascii="Arial" w:hAnsi="Arial" w:cs="Arial"/>
          <w:sz w:val="22"/>
          <w:szCs w:val="22"/>
        </w:rPr>
        <w:t xml:space="preserve">Niniejsze </w:t>
      </w:r>
      <w:r>
        <w:rPr>
          <w:rFonts w:ascii="Arial" w:hAnsi="Arial" w:cs="Arial"/>
          <w:sz w:val="22"/>
          <w:szCs w:val="22"/>
        </w:rPr>
        <w:t>zawiadomienie</w:t>
      </w:r>
      <w:r w:rsidRPr="00B60981">
        <w:rPr>
          <w:rFonts w:ascii="Arial" w:hAnsi="Arial" w:cs="Arial"/>
          <w:sz w:val="22"/>
          <w:szCs w:val="22"/>
        </w:rPr>
        <w:t xml:space="preserve"> kieruje się w związku z </w:t>
      </w:r>
      <w:r>
        <w:rPr>
          <w:rFonts w:ascii="Arial" w:hAnsi="Arial" w:cs="Arial"/>
          <w:sz w:val="22"/>
          <w:szCs w:val="22"/>
        </w:rPr>
        <w:t>§ 18b</w:t>
      </w:r>
      <w:r w:rsidRPr="00586713">
        <w:rPr>
          <w:rFonts w:ascii="Arial" w:hAnsi="Arial" w:cs="Arial"/>
          <w:sz w:val="22"/>
          <w:szCs w:val="22"/>
        </w:rPr>
        <w:t xml:space="preserve"> </w:t>
      </w:r>
      <w:r>
        <w:rPr>
          <w:rFonts w:ascii="Arial" w:hAnsi="Arial" w:cs="Arial"/>
          <w:sz w:val="22"/>
          <w:szCs w:val="22"/>
        </w:rPr>
        <w:t xml:space="preserve">ust. </w:t>
      </w:r>
      <w:r w:rsidRPr="00586713">
        <w:rPr>
          <w:rFonts w:ascii="Arial" w:hAnsi="Arial" w:cs="Arial"/>
          <w:sz w:val="22"/>
          <w:szCs w:val="22"/>
        </w:rPr>
        <w:t>1</w:t>
      </w:r>
      <w:r>
        <w:rPr>
          <w:rFonts w:ascii="Arial" w:hAnsi="Arial" w:cs="Arial"/>
          <w:sz w:val="22"/>
          <w:szCs w:val="22"/>
        </w:rPr>
        <w:t>-4</w:t>
      </w:r>
      <w:r w:rsidRPr="00586713">
        <w:rPr>
          <w:rFonts w:ascii="Arial" w:hAnsi="Arial" w:cs="Arial"/>
          <w:sz w:val="22"/>
          <w:szCs w:val="22"/>
        </w:rPr>
        <w:t xml:space="preserve"> </w:t>
      </w:r>
      <w:r w:rsidRPr="00586713">
        <w:rPr>
          <w:rFonts w:ascii="Arial" w:eastAsiaTheme="minorHAnsi" w:hAnsi="Arial" w:cs="Arial"/>
          <w:sz w:val="22"/>
          <w:szCs w:val="22"/>
          <w:lang w:eastAsia="en-US"/>
        </w:rPr>
        <w:t>rozporządzenia Ministra Kultury i Dziedzictwa Narodowego z dnia 26 maja</w:t>
      </w:r>
      <w:r w:rsidRPr="00987C01">
        <w:rPr>
          <w:rFonts w:ascii="Arial" w:eastAsiaTheme="minorHAnsi" w:hAnsi="Arial" w:cs="Arial"/>
          <w:sz w:val="22"/>
          <w:szCs w:val="22"/>
          <w:lang w:eastAsia="en-US"/>
        </w:rPr>
        <w:t xml:space="preserve"> 2011 r. w sprawie prowadzenia rejestru zabytków, krajowej, wojewódzkiej i gminnej ewidencji zabytków oraz krajowego wykazu zabytków skradzionych lub wywiezionych za granicę niezgodnie z prawem </w:t>
      </w:r>
      <w:r>
        <w:rPr>
          <w:rFonts w:ascii="Arial" w:eastAsiaTheme="minorHAnsi" w:hAnsi="Arial" w:cs="Arial"/>
          <w:sz w:val="22"/>
          <w:szCs w:val="22"/>
          <w:lang w:eastAsia="en-US"/>
        </w:rPr>
        <w:br/>
      </w:r>
      <w:r w:rsidRPr="00987C01">
        <w:rPr>
          <w:rFonts w:ascii="Arial" w:eastAsiaTheme="minorHAnsi" w:hAnsi="Arial" w:cs="Arial"/>
          <w:sz w:val="22"/>
          <w:szCs w:val="22"/>
          <w:lang w:eastAsia="en-US"/>
        </w:rPr>
        <w:t>(Dz. U. poz. 661), z uwzględnieniem zmian wprowadzonych rozporządzeniem Ministra Kultury i Dziedzictwa Narodowego z dnia 10 września 2019 r. zmieniającym rozporządzenie w sprawie prowadzenia rejestru zabytków, krajowej, wojewódzkiej i gminnej ewidencji zabytków oraz krajowego wykazu zabytków skradzionych lub wywiezionych za grani</w:t>
      </w:r>
      <w:r>
        <w:rPr>
          <w:rFonts w:ascii="Arial" w:eastAsiaTheme="minorHAnsi" w:hAnsi="Arial" w:cs="Arial"/>
          <w:sz w:val="22"/>
          <w:szCs w:val="22"/>
          <w:lang w:eastAsia="en-US"/>
        </w:rPr>
        <w:br/>
      </w:r>
      <w:proofErr w:type="spellStart"/>
      <w:r w:rsidRPr="00987C01">
        <w:rPr>
          <w:rFonts w:ascii="Arial" w:eastAsiaTheme="minorHAnsi" w:hAnsi="Arial" w:cs="Arial"/>
          <w:sz w:val="22"/>
          <w:szCs w:val="22"/>
          <w:lang w:eastAsia="en-US"/>
        </w:rPr>
        <w:t>cę</w:t>
      </w:r>
      <w:proofErr w:type="spellEnd"/>
      <w:r w:rsidRPr="00987C01">
        <w:rPr>
          <w:rFonts w:ascii="Arial" w:eastAsiaTheme="minorHAnsi" w:hAnsi="Arial" w:cs="Arial"/>
          <w:sz w:val="22"/>
          <w:szCs w:val="22"/>
          <w:lang w:eastAsia="en-US"/>
        </w:rPr>
        <w:t xml:space="preserve"> niezgodnie z prawem (Dz. U. poz. 1886)</w:t>
      </w:r>
      <w:r>
        <w:rPr>
          <w:rFonts w:ascii="Arial" w:eastAsiaTheme="minorHAnsi" w:hAnsi="Arial" w:cs="Arial"/>
          <w:sz w:val="22"/>
          <w:szCs w:val="22"/>
          <w:lang w:eastAsia="en-US"/>
        </w:rPr>
        <w:t>,</w:t>
      </w:r>
      <w:r w:rsidRPr="00987C01">
        <w:rPr>
          <w:rFonts w:ascii="Arial" w:hAnsi="Arial" w:cs="Arial"/>
          <w:bCs/>
          <w:sz w:val="22"/>
          <w:szCs w:val="22"/>
        </w:rPr>
        <w:t xml:space="preserve"> </w:t>
      </w:r>
      <w:r w:rsidRPr="00987C01">
        <w:rPr>
          <w:rFonts w:ascii="Arial" w:hAnsi="Arial" w:cs="Arial"/>
          <w:sz w:val="22"/>
          <w:szCs w:val="22"/>
        </w:rPr>
        <w:t xml:space="preserve">oraz </w:t>
      </w:r>
      <w:r w:rsidRPr="00586713">
        <w:rPr>
          <w:rFonts w:ascii="Arial" w:hAnsi="Arial" w:cs="Arial"/>
          <w:sz w:val="22"/>
          <w:szCs w:val="22"/>
        </w:rPr>
        <w:t>w nawiązaniu do</w:t>
      </w:r>
      <w:r w:rsidRPr="00A56F9E">
        <w:rPr>
          <w:rFonts w:ascii="Arial" w:hAnsi="Arial" w:cs="Arial"/>
          <w:sz w:val="22"/>
          <w:szCs w:val="22"/>
        </w:rPr>
        <w:t xml:space="preserve"> </w:t>
      </w:r>
      <w:r w:rsidRPr="00987C01">
        <w:rPr>
          <w:rFonts w:ascii="Arial" w:hAnsi="Arial" w:cs="Arial"/>
          <w:sz w:val="22"/>
          <w:szCs w:val="22"/>
        </w:rPr>
        <w:t xml:space="preserve">art. 22 ustawy o ochronie zabytków i opiece nad zabytkami z dnia 23 lipca 2003 r. (tekst jedn. Dz. U. z 2024 r. </w:t>
      </w:r>
      <w:r>
        <w:rPr>
          <w:rFonts w:ascii="Arial" w:hAnsi="Arial" w:cs="Arial"/>
          <w:sz w:val="22"/>
          <w:szCs w:val="22"/>
        </w:rPr>
        <w:br/>
      </w:r>
      <w:r w:rsidRPr="00987C01">
        <w:rPr>
          <w:rFonts w:ascii="Arial" w:hAnsi="Arial" w:cs="Arial"/>
          <w:sz w:val="22"/>
          <w:szCs w:val="22"/>
        </w:rPr>
        <w:t xml:space="preserve">poz. 1292 z </w:t>
      </w:r>
      <w:proofErr w:type="spellStart"/>
      <w:r w:rsidRPr="00987C01">
        <w:rPr>
          <w:rFonts w:ascii="Arial" w:hAnsi="Arial" w:cs="Arial"/>
          <w:sz w:val="22"/>
          <w:szCs w:val="22"/>
        </w:rPr>
        <w:t>późn</w:t>
      </w:r>
      <w:proofErr w:type="spellEnd"/>
      <w:r w:rsidRPr="00987C01">
        <w:rPr>
          <w:rFonts w:ascii="Arial" w:hAnsi="Arial" w:cs="Arial"/>
          <w:sz w:val="22"/>
          <w:szCs w:val="22"/>
        </w:rPr>
        <w:t xml:space="preserve"> zm.)</w:t>
      </w:r>
      <w:r>
        <w:rPr>
          <w:rFonts w:ascii="Arial" w:hAnsi="Arial" w:cs="Arial"/>
          <w:sz w:val="22"/>
          <w:szCs w:val="22"/>
        </w:rPr>
        <w:t>,</w:t>
      </w:r>
    </w:p>
    <w:p w:rsidR="00C96718" w:rsidRDefault="00C96718" w:rsidP="00C96718">
      <w:pPr>
        <w:pStyle w:val="Nagwek"/>
        <w:tabs>
          <w:tab w:val="left" w:pos="708"/>
        </w:tabs>
        <w:spacing w:before="240" w:line="360" w:lineRule="auto"/>
        <w:jc w:val="both"/>
        <w:rPr>
          <w:rFonts w:ascii="Arial" w:hAnsi="Arial" w:cs="Arial"/>
          <w:bCs/>
          <w:sz w:val="22"/>
          <w:szCs w:val="22"/>
        </w:rPr>
      </w:pPr>
      <w:r w:rsidRPr="004E33F3">
        <w:rPr>
          <w:rFonts w:ascii="Arial" w:hAnsi="Arial" w:cs="Arial"/>
          <w:bCs/>
          <w:sz w:val="22"/>
          <w:szCs w:val="22"/>
        </w:rPr>
        <w:t xml:space="preserve">Zgodnie z § 18b ust. 1 rozporządzenia, o zamiarze włączenia karty adresowej zabytku </w:t>
      </w:r>
      <w:r>
        <w:rPr>
          <w:rFonts w:ascii="Arial" w:hAnsi="Arial" w:cs="Arial"/>
          <w:bCs/>
          <w:sz w:val="22"/>
          <w:szCs w:val="22"/>
        </w:rPr>
        <w:br/>
      </w:r>
      <w:r w:rsidRPr="004E33F3">
        <w:rPr>
          <w:rFonts w:ascii="Arial" w:hAnsi="Arial" w:cs="Arial"/>
          <w:bCs/>
          <w:sz w:val="22"/>
          <w:szCs w:val="22"/>
        </w:rPr>
        <w:t xml:space="preserve">do gminnej ewidencji zabytków, o włączeniu tej karty, o sporządzeniu nowej karty adresowej zabytku, o zamiarze wyłączenia karty adresowej zabytku z gminnej ewidencji zabytków </w:t>
      </w:r>
      <w:r>
        <w:rPr>
          <w:rFonts w:ascii="Arial" w:hAnsi="Arial" w:cs="Arial"/>
          <w:bCs/>
          <w:sz w:val="22"/>
          <w:szCs w:val="22"/>
        </w:rPr>
        <w:br/>
      </w:r>
      <w:r w:rsidRPr="004E33F3">
        <w:rPr>
          <w:rFonts w:ascii="Arial" w:hAnsi="Arial" w:cs="Arial"/>
          <w:bCs/>
          <w:sz w:val="22"/>
          <w:szCs w:val="22"/>
        </w:rPr>
        <w:t>lub o wyłączeniu tej karty wójt (burmistrz, prezydent miasta) zawiadamia niezwłocznie właściciela lub posiadacza zabytku albo nieruchomości, która przestała być zabytkiem.</w:t>
      </w:r>
    </w:p>
    <w:p w:rsidR="00C96718" w:rsidRPr="004E33F3" w:rsidRDefault="00C96718" w:rsidP="00C96718">
      <w:pPr>
        <w:autoSpaceDE w:val="0"/>
        <w:autoSpaceDN w:val="0"/>
        <w:adjustRightInd w:val="0"/>
        <w:spacing w:before="240" w:line="360" w:lineRule="auto"/>
        <w:jc w:val="both"/>
        <w:rPr>
          <w:rFonts w:ascii="Arial" w:hAnsi="Arial" w:cs="Arial"/>
          <w:bCs/>
          <w:sz w:val="22"/>
          <w:szCs w:val="22"/>
        </w:rPr>
      </w:pPr>
      <w:r w:rsidRPr="004E33F3">
        <w:rPr>
          <w:rFonts w:ascii="Arial" w:hAnsi="Arial" w:cs="Arial"/>
          <w:bCs/>
          <w:sz w:val="22"/>
          <w:szCs w:val="22"/>
        </w:rPr>
        <w:t>Zgodnie z § 18b ust. 2 rozporządzenia, z</w:t>
      </w:r>
      <w:r w:rsidRPr="004E33F3">
        <w:rPr>
          <w:rFonts w:ascii="Arial" w:eastAsiaTheme="minorHAnsi" w:hAnsi="Arial" w:cs="Arial"/>
          <w:sz w:val="22"/>
          <w:szCs w:val="22"/>
          <w:lang w:eastAsia="en-US"/>
        </w:rPr>
        <w:t>awiadomienia o zamiarze włączenia karty adresowej zabytku będącego historycznym układem urbanistycznym lub</w:t>
      </w:r>
      <w:r>
        <w:rPr>
          <w:rFonts w:ascii="Arial" w:eastAsiaTheme="minorHAnsi" w:hAnsi="Arial" w:cs="Arial"/>
          <w:sz w:val="22"/>
          <w:szCs w:val="22"/>
          <w:lang w:eastAsia="en-US"/>
        </w:rPr>
        <w:t xml:space="preserve"> </w:t>
      </w:r>
      <w:r w:rsidRPr="004E33F3">
        <w:rPr>
          <w:rFonts w:ascii="Arial" w:eastAsiaTheme="minorHAnsi" w:hAnsi="Arial" w:cs="Arial"/>
          <w:sz w:val="22"/>
          <w:szCs w:val="22"/>
          <w:lang w:eastAsia="en-US"/>
        </w:rPr>
        <w:t>ruralistycznym, historycznym zespołem budowlanym, terenem, na którym znajduje się znaczna ilość zabytków archeologicznych,</w:t>
      </w:r>
      <w:r>
        <w:rPr>
          <w:rFonts w:ascii="Arial" w:eastAsiaTheme="minorHAnsi" w:hAnsi="Arial" w:cs="Arial"/>
          <w:sz w:val="22"/>
          <w:szCs w:val="22"/>
          <w:lang w:eastAsia="en-US"/>
        </w:rPr>
        <w:t xml:space="preserve"> </w:t>
      </w:r>
      <w:r w:rsidRPr="004E33F3">
        <w:rPr>
          <w:rFonts w:ascii="Arial" w:eastAsiaTheme="minorHAnsi" w:hAnsi="Arial" w:cs="Arial"/>
          <w:sz w:val="22"/>
          <w:szCs w:val="22"/>
          <w:lang w:eastAsia="en-US"/>
        </w:rPr>
        <w:t xml:space="preserve">lub nieruchomością o nieuregulowanym stanie prawnym </w:t>
      </w:r>
      <w:r>
        <w:rPr>
          <w:rFonts w:ascii="Arial" w:eastAsiaTheme="minorHAnsi" w:hAnsi="Arial" w:cs="Arial"/>
          <w:sz w:val="22"/>
          <w:szCs w:val="22"/>
          <w:lang w:eastAsia="en-US"/>
        </w:rPr>
        <w:br/>
      </w:r>
      <w:r w:rsidRPr="004E33F3">
        <w:rPr>
          <w:rFonts w:ascii="Arial" w:eastAsiaTheme="minorHAnsi" w:hAnsi="Arial" w:cs="Arial"/>
          <w:sz w:val="22"/>
          <w:szCs w:val="22"/>
          <w:lang w:eastAsia="en-US"/>
        </w:rPr>
        <w:t>do gminnej ewidencji zabytków, o włączeniu tej karty,</w:t>
      </w:r>
      <w:r>
        <w:rPr>
          <w:rFonts w:ascii="Arial" w:eastAsiaTheme="minorHAnsi" w:hAnsi="Arial" w:cs="Arial"/>
          <w:sz w:val="22"/>
          <w:szCs w:val="22"/>
          <w:lang w:eastAsia="en-US"/>
        </w:rPr>
        <w:t xml:space="preserve"> </w:t>
      </w:r>
      <w:r w:rsidRPr="004E33F3">
        <w:rPr>
          <w:rFonts w:ascii="Arial" w:eastAsiaTheme="minorHAnsi" w:hAnsi="Arial" w:cs="Arial"/>
          <w:sz w:val="22"/>
          <w:szCs w:val="22"/>
          <w:lang w:eastAsia="en-US"/>
        </w:rPr>
        <w:t>o sporządzeniu nowej karty adresowej takiego zabytku, o zamiarze wyłączenia karty adresowej takiego zabytku z gminnej</w:t>
      </w:r>
      <w:r>
        <w:rPr>
          <w:rFonts w:ascii="Arial" w:eastAsiaTheme="minorHAnsi" w:hAnsi="Arial" w:cs="Arial"/>
          <w:sz w:val="22"/>
          <w:szCs w:val="22"/>
          <w:lang w:eastAsia="en-US"/>
        </w:rPr>
        <w:t xml:space="preserve"> </w:t>
      </w:r>
      <w:r w:rsidRPr="004E33F3">
        <w:rPr>
          <w:rFonts w:ascii="Arial" w:eastAsiaTheme="minorHAnsi" w:hAnsi="Arial" w:cs="Arial"/>
          <w:sz w:val="22"/>
          <w:szCs w:val="22"/>
          <w:lang w:eastAsia="en-US"/>
        </w:rPr>
        <w:t xml:space="preserve">ewidencji zabytków lub o wyłączeniu tej karty dokonuje się w drodze obwieszczenia umieszczonego </w:t>
      </w:r>
      <w:r>
        <w:rPr>
          <w:rFonts w:ascii="Arial" w:eastAsiaTheme="minorHAnsi" w:hAnsi="Arial" w:cs="Arial"/>
          <w:sz w:val="22"/>
          <w:szCs w:val="22"/>
          <w:lang w:eastAsia="en-US"/>
        </w:rPr>
        <w:br/>
      </w:r>
      <w:r w:rsidRPr="004E33F3">
        <w:rPr>
          <w:rFonts w:ascii="Arial" w:eastAsiaTheme="minorHAnsi" w:hAnsi="Arial" w:cs="Arial"/>
          <w:sz w:val="22"/>
          <w:szCs w:val="22"/>
          <w:lang w:eastAsia="en-US"/>
        </w:rPr>
        <w:t>na stronie podmiotowej</w:t>
      </w:r>
      <w:r>
        <w:rPr>
          <w:rFonts w:ascii="Arial" w:eastAsiaTheme="minorHAnsi" w:hAnsi="Arial" w:cs="Arial"/>
          <w:sz w:val="22"/>
          <w:szCs w:val="22"/>
          <w:lang w:eastAsia="en-US"/>
        </w:rPr>
        <w:t xml:space="preserve"> </w:t>
      </w:r>
      <w:r w:rsidRPr="004E33F3">
        <w:rPr>
          <w:rFonts w:ascii="Arial" w:eastAsiaTheme="minorHAnsi" w:hAnsi="Arial" w:cs="Arial"/>
          <w:sz w:val="22"/>
          <w:szCs w:val="22"/>
          <w:lang w:eastAsia="en-US"/>
        </w:rPr>
        <w:t>Biuletynu Informacji Publicznej.</w:t>
      </w:r>
    </w:p>
    <w:p w:rsidR="00C96718" w:rsidRDefault="00C96718" w:rsidP="00C96718">
      <w:pPr>
        <w:pStyle w:val="Nagwek"/>
        <w:tabs>
          <w:tab w:val="left" w:pos="708"/>
        </w:tabs>
        <w:spacing w:before="240" w:line="360" w:lineRule="auto"/>
        <w:jc w:val="both"/>
        <w:rPr>
          <w:rFonts w:ascii="Arial" w:hAnsi="Arial" w:cs="Arial"/>
          <w:bCs/>
          <w:sz w:val="22"/>
          <w:szCs w:val="22"/>
        </w:rPr>
      </w:pPr>
      <w:r w:rsidRPr="004E33F3">
        <w:rPr>
          <w:rFonts w:ascii="Arial" w:hAnsi="Arial" w:cs="Arial"/>
          <w:bCs/>
          <w:sz w:val="22"/>
          <w:szCs w:val="22"/>
        </w:rPr>
        <w:t>Zgodnie z § 18b ust. 3 rozporządzenia</w:t>
      </w:r>
      <w:r>
        <w:rPr>
          <w:rFonts w:ascii="Arial" w:hAnsi="Arial" w:cs="Arial"/>
          <w:bCs/>
          <w:sz w:val="22"/>
          <w:szCs w:val="22"/>
        </w:rPr>
        <w:t>,</w:t>
      </w:r>
      <w:r w:rsidRPr="004E33F3">
        <w:rPr>
          <w:rFonts w:ascii="Arial" w:hAnsi="Arial" w:cs="Arial"/>
          <w:bCs/>
          <w:sz w:val="22"/>
          <w:szCs w:val="22"/>
        </w:rPr>
        <w:t xml:space="preserve"> zawiadomienie o zamiarze włączenia karty adresowej zabytku, o sporządzeniu nowej karty adresowej zabytku albo o zamiarze wyłączenia karty adresowej zabytku z gminnej ewidencji zabytków, umieszcza się na stronie podmiotowej Biuletynu Informacji Publicznej do czasu zamieszczenia informacji odpowiednio o włączeniu karty adresowej zabytku, o włączeniu nowej karty adresowej zabytku do gminnej </w:t>
      </w:r>
      <w:r w:rsidRPr="004E33F3">
        <w:rPr>
          <w:rFonts w:ascii="Arial" w:hAnsi="Arial" w:cs="Arial"/>
          <w:bCs/>
          <w:sz w:val="22"/>
          <w:szCs w:val="22"/>
        </w:rPr>
        <w:lastRenderedPageBreak/>
        <w:t>ewidencji zabytków albo o wyłączeniu karty adresowej zabytku z gminnej ewidencji zabytków.</w:t>
      </w:r>
    </w:p>
    <w:p w:rsidR="00C96718" w:rsidRPr="00987C01" w:rsidRDefault="00C96718" w:rsidP="00C96718">
      <w:pPr>
        <w:pStyle w:val="Nagwek"/>
        <w:tabs>
          <w:tab w:val="left" w:pos="708"/>
        </w:tabs>
        <w:spacing w:before="240" w:line="360" w:lineRule="auto"/>
        <w:jc w:val="both"/>
        <w:rPr>
          <w:rFonts w:ascii="Arial" w:hAnsi="Arial" w:cs="Arial"/>
          <w:bCs/>
          <w:iCs/>
          <w:sz w:val="22"/>
          <w:szCs w:val="22"/>
        </w:rPr>
      </w:pPr>
      <w:r w:rsidRPr="004E33F3">
        <w:rPr>
          <w:rFonts w:ascii="Arial" w:hAnsi="Arial" w:cs="Arial"/>
          <w:bCs/>
          <w:sz w:val="22"/>
          <w:szCs w:val="22"/>
        </w:rPr>
        <w:t>Zgodnie z § 18b ust. 4 rozporządzenia, Wójt Gminy o zamiarze włączenia karty adresowej zabytku do gminnej ewidencji zabytków, o sporządzeniu nowej karty adresowej zabytku albo o zamiarze wyłączenia karty adresowej zabytku z gminnej ewidencji zabytków, zawiadamia właściciela lub posiadacza zabytku albo nieruchomości lub rzeczy ruchomej, która przestała być zabytkiem, na co najmniej 14 dni przed planowanym terminem włączenia karty adresowej zabytku do gminnej ewidencji zabytków albo wyłączenia tej karty z gminnej ewidencji zabytków.</w:t>
      </w:r>
    </w:p>
    <w:p w:rsidR="00C96718" w:rsidRDefault="00C96718" w:rsidP="00C96718">
      <w:pPr>
        <w:pStyle w:val="Nagwek"/>
        <w:tabs>
          <w:tab w:val="left" w:pos="708"/>
        </w:tabs>
        <w:spacing w:before="720" w:line="360" w:lineRule="auto"/>
        <w:rPr>
          <w:rFonts w:ascii="Arial" w:hAnsi="Arial" w:cs="Arial"/>
          <w:bCs/>
          <w:iCs/>
          <w:sz w:val="22"/>
          <w:szCs w:val="22"/>
        </w:rPr>
      </w:pPr>
    </w:p>
    <w:p w:rsidR="00C96718" w:rsidRDefault="00C96718" w:rsidP="00C96718">
      <w:pPr>
        <w:spacing w:line="360" w:lineRule="auto"/>
        <w:ind w:left="5670"/>
        <w:rPr>
          <w:rFonts w:ascii="Arial" w:hAnsi="Arial" w:cs="Arial"/>
        </w:rPr>
      </w:pPr>
      <w:r>
        <w:rPr>
          <w:rFonts w:ascii="Arial" w:hAnsi="Arial" w:cs="Arial"/>
        </w:rPr>
        <w:t>Podpisał</w:t>
      </w:r>
    </w:p>
    <w:p w:rsidR="00C96718" w:rsidRDefault="00C96718" w:rsidP="00C96718">
      <w:pPr>
        <w:spacing w:line="360" w:lineRule="auto"/>
        <w:ind w:left="5670"/>
        <w:rPr>
          <w:rFonts w:ascii="Arial" w:hAnsi="Arial" w:cs="Arial"/>
        </w:rPr>
      </w:pPr>
      <w:r w:rsidRPr="004B76F6">
        <w:rPr>
          <w:rFonts w:ascii="Arial" w:hAnsi="Arial" w:cs="Arial"/>
        </w:rPr>
        <w:t xml:space="preserve">Prezydent Miasta </w:t>
      </w:r>
    </w:p>
    <w:p w:rsidR="00C96718" w:rsidRPr="00026EA8" w:rsidRDefault="00C96718" w:rsidP="00C96718">
      <w:pPr>
        <w:spacing w:line="360" w:lineRule="auto"/>
        <w:ind w:left="5670"/>
        <w:rPr>
          <w:rFonts w:ascii="Arial" w:hAnsi="Arial" w:cs="Arial"/>
          <w:b/>
        </w:rPr>
      </w:pPr>
      <w:r w:rsidRPr="00026EA8">
        <w:rPr>
          <w:rFonts w:ascii="Arial" w:hAnsi="Arial" w:cs="Arial"/>
          <w:b/>
        </w:rPr>
        <w:t>Mariusz Wołosz</w:t>
      </w:r>
    </w:p>
    <w:p w:rsidR="00AB481B" w:rsidRDefault="00C96718"/>
    <w:sectPr w:rsidR="00AB481B" w:rsidSect="008B0EDC">
      <w:footerReference w:type="even" r:id="rId5"/>
      <w:footerReference w:type="default" r:id="rId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713" w:rsidRDefault="00C96718" w:rsidP="003827EF">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rsidR="00586713" w:rsidRDefault="00C96718" w:rsidP="003827EF">
    <w:pPr>
      <w:pStyle w:val="Stopk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713" w:rsidRDefault="00C96718" w:rsidP="003827EF">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rsidR="00586713" w:rsidRDefault="00C96718" w:rsidP="003827EF">
    <w:pPr>
      <w:pStyle w:val="Stopka"/>
      <w:ind w:right="360"/>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F3F55"/>
    <w:multiLevelType w:val="multilevel"/>
    <w:tmpl w:val="405C860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518F16CB"/>
    <w:multiLevelType w:val="multilevel"/>
    <w:tmpl w:val="F118D9F2"/>
    <w:lvl w:ilvl="0">
      <w:start w:val="1"/>
      <w:numFmt w:val="upperLetter"/>
      <w:lvlText w:val="%1."/>
      <w:lvlJc w:val="left"/>
      <w:pPr>
        <w:ind w:left="720" w:hanging="360"/>
      </w:pPr>
      <w:rPr>
        <w:rFonts w:hint="default"/>
      </w:rPr>
    </w:lvl>
    <w:lvl w:ilvl="1">
      <w:start w:val="1"/>
      <w:numFmt w:val="upp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C96718"/>
    <w:rsid w:val="000B375B"/>
    <w:rsid w:val="001263B3"/>
    <w:rsid w:val="003C5B27"/>
    <w:rsid w:val="00C9671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96718"/>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semiHidden/>
    <w:rsid w:val="00C96718"/>
    <w:pPr>
      <w:tabs>
        <w:tab w:val="center" w:pos="4536"/>
        <w:tab w:val="right" w:pos="9072"/>
      </w:tabs>
    </w:pPr>
  </w:style>
  <w:style w:type="character" w:customStyle="1" w:styleId="NagwekZnak">
    <w:name w:val="Nagłówek Znak"/>
    <w:basedOn w:val="Domylnaczcionkaakapitu"/>
    <w:link w:val="Nagwek"/>
    <w:semiHidden/>
    <w:rsid w:val="00C96718"/>
    <w:rPr>
      <w:rFonts w:ascii="Times New Roman" w:eastAsia="Times New Roman" w:hAnsi="Times New Roman" w:cs="Times New Roman"/>
      <w:sz w:val="24"/>
      <w:szCs w:val="24"/>
      <w:lang w:eastAsia="pl-PL"/>
    </w:rPr>
  </w:style>
  <w:style w:type="paragraph" w:styleId="Stopka">
    <w:name w:val="footer"/>
    <w:basedOn w:val="Normalny"/>
    <w:link w:val="StopkaZnak"/>
    <w:rsid w:val="00C96718"/>
    <w:pPr>
      <w:tabs>
        <w:tab w:val="center" w:pos="4536"/>
        <w:tab w:val="right" w:pos="9072"/>
      </w:tabs>
    </w:pPr>
  </w:style>
  <w:style w:type="character" w:customStyle="1" w:styleId="StopkaZnak">
    <w:name w:val="Stopka Znak"/>
    <w:basedOn w:val="Domylnaczcionkaakapitu"/>
    <w:link w:val="Stopka"/>
    <w:rsid w:val="00C96718"/>
    <w:rPr>
      <w:rFonts w:ascii="Times New Roman" w:eastAsia="Times New Roman" w:hAnsi="Times New Roman" w:cs="Times New Roman"/>
      <w:sz w:val="24"/>
      <w:szCs w:val="24"/>
      <w:lang w:eastAsia="pl-PL"/>
    </w:rPr>
  </w:style>
  <w:style w:type="character" w:styleId="Numerstrony">
    <w:name w:val="page number"/>
    <w:basedOn w:val="Domylnaczcionkaakapitu"/>
    <w:rsid w:val="00C96718"/>
  </w:style>
  <w:style w:type="paragraph" w:styleId="Akapitzlist">
    <w:name w:val="List Paragraph"/>
    <w:basedOn w:val="Normalny"/>
    <w:uiPriority w:val="34"/>
    <w:qFormat/>
    <w:rsid w:val="00C96718"/>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996</Words>
  <Characters>5981</Characters>
  <Application>Microsoft Office Word</Application>
  <DocSecurity>0</DocSecurity>
  <Lines>49</Lines>
  <Paragraphs>13</Paragraphs>
  <ScaleCrop>false</ScaleCrop>
  <Company/>
  <LinksUpToDate>false</LinksUpToDate>
  <CharactersWithSpaces>6964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mmlynek</dc:creator>
  <cp:lastModifiedBy>mmlynek</cp:lastModifiedBy>
  <cp:revision>1</cp:revision>
  <dcterms:created xsi:type="dcterms:W3CDTF">2025-12-18T10:23:00Z</dcterms:created>
  <dcterms:modified xsi:type="dcterms:W3CDTF">2025-12-18T10:23:00Z</dcterms:modified>
</cp:coreProperties>
</file>