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5.4.0 -->
  <w:body>
    <w:p w:rsidR="00A77B3E">
      <w:pPr>
        <w:spacing w:line="276" w:lineRule="auto"/>
        <w:ind w:left="0"/>
        <w:jc w:val="center"/>
        <w:rPr>
          <w:rFonts w:ascii="Arial" w:eastAsia="Arial" w:hAnsi="Arial" w:cs="Arial"/>
          <w:b/>
          <w:caps/>
          <w:sz w:val="24"/>
        </w:rPr>
      </w:pPr>
      <w:r>
        <w:rPr>
          <w:rFonts w:ascii="Arial" w:eastAsia="Arial" w:hAnsi="Arial" w:cs="Arial"/>
          <w:b/>
          <w:caps/>
          <w:sz w:val="24"/>
        </w:rPr>
        <w:t>Uchwała</w:t>
      </w:r>
      <w:r>
        <w:rPr>
          <w:rFonts w:ascii="Arial" w:eastAsia="Arial" w:hAnsi="Arial" w:cs="Arial"/>
          <w:b/>
          <w:caps/>
          <w:sz w:val="24"/>
        </w:rPr>
        <w:t xml:space="preserve"> nr </w:t>
      </w:r>
      <w:r>
        <w:rPr>
          <w:rFonts w:ascii="Arial" w:eastAsia="Arial" w:hAnsi="Arial" w:cs="Arial"/>
          <w:b/>
          <w:caps/>
          <w:sz w:val="24"/>
        </w:rPr>
        <w:t>....................</w:t>
      </w:r>
      <w:r>
        <w:rPr>
          <w:rFonts w:ascii="Arial" w:eastAsia="Arial" w:hAnsi="Arial" w:cs="Arial"/>
          <w:b/>
          <w:caps/>
          <w:sz w:val="24"/>
        </w:rPr>
        <w:br/>
      </w:r>
      <w:r>
        <w:rPr>
          <w:rFonts w:ascii="Arial" w:eastAsia="Arial" w:hAnsi="Arial" w:cs="Arial"/>
          <w:b/>
          <w:caps/>
          <w:sz w:val="24"/>
        </w:rPr>
        <w:t>Rady Miejskiej w Bytomiu</w:t>
      </w:r>
    </w:p>
    <w:p w:rsidR="00A77B3E">
      <w:pPr>
        <w:spacing w:before="280" w:after="280" w:line="276" w:lineRule="auto"/>
        <w:ind w:left="0"/>
        <w:jc w:val="center"/>
        <w:rPr>
          <w:rFonts w:ascii="Arial" w:eastAsia="Arial" w:hAnsi="Arial" w:cs="Arial"/>
          <w:b/>
          <w:caps/>
          <w:sz w:val="24"/>
        </w:rPr>
      </w:pPr>
      <w:r>
        <w:rPr>
          <w:rFonts w:ascii="Arial" w:eastAsia="Arial" w:hAnsi="Arial" w:cs="Arial"/>
          <w:b w:val="0"/>
          <w:caps w:val="0"/>
          <w:sz w:val="24"/>
        </w:rPr>
        <w:t>z dnia .................... 2026 r.</w:t>
      </w:r>
    </w:p>
    <w:p w:rsidR="00A77B3E">
      <w:pPr>
        <w:keepNext/>
        <w:spacing w:before="0" w:after="480" w:line="276" w:lineRule="auto"/>
        <w:ind w:left="0" w:right="0" w:firstLine="0"/>
        <w:jc w:val="center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/>
          <w:caps w:val="0"/>
          <w:sz w:val="24"/>
        </w:rPr>
        <w:t>zmieniającą uchwałę nr XXIX/395/14 Rady Miejskiej w Bytomiu w sprawie określenia szczegółowego sposobu konsultowania z radą działalności pożytku publicznego lub organizacjami pozarządowymi i podmiotami wymienionymi w art. 3 ust. 3 ustawy o działalności pożytku publicznego i o wolontariacie projektów aktów prawa miejscowego w dziedzinach dotyczących działalności statutowej tych organizacji</w:t>
      </w:r>
    </w:p>
    <w:p w:rsidR="00A77B3E">
      <w:pPr>
        <w:keepNext w:val="0"/>
        <w:keepLines/>
        <w:spacing w:before="120" w:after="120" w:line="276" w:lineRule="auto"/>
        <w:ind w:left="0" w:right="0" w:firstLine="227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Na podstawie art.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18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ust.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2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pkt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15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ustawy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dnia 8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marca 1990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o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samorządzie gminnym (Dz.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2026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poz.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662) w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związku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art.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5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ust.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5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ustawy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dnia 24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kwietnia 2003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o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działalności pożytku publicznego i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o wolontariacie (Dz.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U.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2025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poz.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1338) uchwala się, co następuje: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/>
          <w:sz w:val="24"/>
        </w:rPr>
        <w:t>§ 1.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W uchwale nr XXIX/395/14 Rady Miejskiej w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Bytomiu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dnia 24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marca 2014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w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sprawie określenia szczegółowego sposobu konsultowania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radą działalności pożytku publicznego lub organizacjami pozarządowymi i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podmiotami wymienionymi w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art.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3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ust.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3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ustawy o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działalności pożytku publicznego i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o wolontariacie projektów aktów prawa miejscowego w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dziedzinach dotyczących działalności statutowej tych organizacji (Dz. Urz. Woj. Śl.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2014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poz.1823 i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z 2015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poz.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4138) wprowadza się następujące zmiany:</w:t>
      </w:r>
    </w:p>
    <w:p w:rsidR="00A77B3E">
      <w:pPr>
        <w:keepNext w:val="0"/>
        <w:keepLines w:val="0"/>
        <w:spacing w:before="120" w:after="120" w:line="276" w:lineRule="auto"/>
        <w:ind w:left="340" w:right="0" w:hanging="227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sz w:val="24"/>
        </w:rPr>
        <w:t>1)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w § 1:</w:t>
      </w:r>
    </w:p>
    <w:p w:rsidR="00A77B3E">
      <w:pPr>
        <w:keepNext w:val="0"/>
        <w:keepLines/>
        <w:spacing w:before="120" w:after="120" w:line="276" w:lineRule="auto"/>
        <w:ind w:left="567" w:right="0" w:hanging="227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sz w:val="24"/>
        </w:rPr>
        <w:t>a)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ust.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2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otrzymuje brzmienie:</w:t>
      </w:r>
    </w:p>
    <w:p w:rsidR="00A77B3E">
      <w:pPr>
        <w:keepNext w:val="0"/>
        <w:keepLines/>
        <w:spacing w:before="120" w:after="120" w:line="276" w:lineRule="auto"/>
        <w:ind w:left="680" w:right="0" w:firstLine="227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b w:val="0"/>
          <w:i w:val="0"/>
          <w:u w:val="none"/>
        </w:rPr>
        <w:t>„</w:t>
      </w:r>
      <w:r>
        <w:rPr>
          <w:rFonts w:ascii="Arial" w:eastAsia="Arial" w:hAnsi="Arial" w:cs="Arial"/>
          <w:sz w:val="24"/>
        </w:rPr>
        <w:t>2. 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Zamieszczenie projektów aktów prawa miejscowego w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dziedzinach dotyczących działalności statutowej tych organizacji poprzedzone będzie informacją o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wszczęciu procedury konsultacyjnej, opublikowaną na stronie internetowej Gminy Bytom -- www.bytom.pl,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w zakładce poświęconej konsultacjom oraz na tablicy ogłoszeń Urzędu Miejskiego przy ul. Parkowej 2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i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komórki organizacyjnej, która realizuje zadania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organizacjami pozarządowymi.</w:t>
      </w:r>
      <w:r>
        <w:rPr>
          <w:b w:val="0"/>
          <w:i w:val="0"/>
          <w:u w:val="none"/>
        </w:rPr>
        <w:t>”</w:t>
      </w:r>
      <w:r>
        <w:t>,</w:t>
      </w:r>
    </w:p>
    <w:p w:rsidR="00A77B3E">
      <w:pPr>
        <w:keepNext w:val="0"/>
        <w:keepLines/>
        <w:spacing w:before="120" w:after="120" w:line="276" w:lineRule="auto"/>
        <w:ind w:left="567" w:right="0" w:hanging="227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sz w:val="24"/>
        </w:rPr>
        <w:t>b)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w ust.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4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pkt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2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otrzymuje brzmienie:</w:t>
      </w:r>
    </w:p>
    <w:p w:rsidR="00A77B3E">
      <w:pPr>
        <w:keepNext w:val="0"/>
        <w:keepLines w:val="0"/>
        <w:spacing w:before="120" w:after="120" w:line="276" w:lineRule="auto"/>
        <w:ind w:left="1020" w:right="0" w:hanging="340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b w:val="0"/>
          <w:i w:val="0"/>
          <w:u w:val="none"/>
        </w:rPr>
        <w:t>„</w:t>
      </w:r>
      <w:r>
        <w:rPr>
          <w:rFonts w:ascii="Arial" w:eastAsia="Arial" w:hAnsi="Arial" w:cs="Arial"/>
          <w:sz w:val="24"/>
        </w:rPr>
        <w:t>2)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przekazać informację, o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której mowa w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ust.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2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do podmiotów znajdujących się w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bazie komórki organizacyjnej, która realizuje zadania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organizacjami pozarządowymi, znajdującej się na stronie internetowej Gminy Bytom -- www.bytom.pl, w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zakładce bytomskie organizacje pozarządowe, prowadzonej przez Urząd Miejski.</w:t>
      </w:r>
      <w:r>
        <w:rPr>
          <w:b w:val="0"/>
          <w:i w:val="0"/>
          <w:u w:val="none"/>
        </w:rPr>
        <w:t>”</w:t>
      </w:r>
      <w:r>
        <w:t>;</w:t>
      </w:r>
    </w:p>
    <w:p w:rsidR="00A77B3E">
      <w:pPr>
        <w:keepNext w:val="0"/>
        <w:keepLines w:val="0"/>
        <w:spacing w:before="120" w:after="120" w:line="276" w:lineRule="auto"/>
        <w:ind w:left="340" w:right="0" w:hanging="227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sz w:val="24"/>
        </w:rPr>
        <w:t>2)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w § 2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ust.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 otrzymuje brzmienie:</w:t>
      </w:r>
    </w:p>
    <w:p w:rsidR="00A77B3E">
      <w:pPr>
        <w:keepNext w:val="0"/>
        <w:keepLines/>
        <w:spacing w:before="120" w:after="120" w:line="276" w:lineRule="auto"/>
        <w:ind w:left="453" w:right="0" w:firstLine="227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b w:val="0"/>
          <w:i w:val="0"/>
          <w:u w:val="none"/>
        </w:rPr>
        <w:t>„</w:t>
      </w:r>
      <w:r>
        <w:rPr>
          <w:rFonts w:ascii="Arial" w:eastAsia="Arial" w:hAnsi="Arial" w:cs="Arial"/>
          <w:sz w:val="24"/>
        </w:rPr>
        <w:t>1. 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Uwagi i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opinie do projektów, o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których mowa w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§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 ust.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mogą być przedstawiane w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formie pisemnej lub drogą elektroniczną.</w:t>
      </w:r>
      <w:r>
        <w:rPr>
          <w:b w:val="0"/>
          <w:i w:val="0"/>
          <w:u w:val="none"/>
        </w:rPr>
        <w:t>”</w:t>
      </w:r>
      <w:r>
        <w:t>;</w:t>
      </w:r>
    </w:p>
    <w:p w:rsidR="00A77B3E">
      <w:pPr>
        <w:keepNext w:val="0"/>
        <w:keepLines w:val="0"/>
        <w:spacing w:before="120" w:after="120" w:line="276" w:lineRule="auto"/>
        <w:ind w:left="340" w:right="0" w:hanging="227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sz w:val="24"/>
        </w:rPr>
        <w:t>3)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w § 5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ust.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2 otrzymuje brzmienie:</w:t>
      </w:r>
    </w:p>
    <w:p w:rsidR="00A77B3E">
      <w:pPr>
        <w:keepNext w:val="0"/>
        <w:keepLines/>
        <w:spacing w:before="120" w:after="120" w:line="276" w:lineRule="auto"/>
        <w:ind w:left="453" w:right="0" w:firstLine="227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b w:val="0"/>
          <w:i w:val="0"/>
          <w:u w:val="none"/>
        </w:rPr>
        <w:t>„</w:t>
      </w:r>
      <w:r>
        <w:rPr>
          <w:rFonts w:ascii="Arial" w:eastAsia="Arial" w:hAnsi="Arial" w:cs="Arial"/>
          <w:sz w:val="24"/>
        </w:rPr>
        <w:t>2. 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Protokół podaje się do publicznej wiadomości na stronie internetowej Gminy Bytom – www.bytom.pl, w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zakładce poświęconej konsultacjom.</w:t>
      </w:r>
      <w:r>
        <w:rPr>
          <w:b w:val="0"/>
          <w:i w:val="0"/>
          <w:u w:val="none"/>
        </w:rPr>
        <w:t>”</w:t>
      </w:r>
      <w:r>
        <w:t>.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/>
          <w:sz w:val="24"/>
        </w:rPr>
        <w:t>§ 2.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Wykonanie uchwały powierza się Prezydentowi Miasta.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sectPr>
          <w:footerReference w:type="default" r:id="rId4"/>
          <w:endnotePr>
            <w:numFmt w:val="decimal"/>
          </w:endnotePr>
          <w:pgSz w:w="11906" w:h="16838"/>
          <w:pgMar w:top="1417" w:right="1020" w:bottom="992" w:left="1020" w:header="708" w:footer="708" w:gutter="0"/>
          <w:cols w:space="708"/>
          <w:docGrid w:linePitch="360"/>
        </w:sectPr>
      </w:pPr>
      <w:r>
        <w:rPr>
          <w:rFonts w:ascii="Arial" w:eastAsia="Arial" w:hAnsi="Arial" w:cs="Arial"/>
          <w:b/>
          <w:sz w:val="24"/>
        </w:rPr>
        <w:t>§ 3.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Uchwała wchodzi w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życie po upływie 14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dni od dnia ogłoszenia w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Dzienniku Urzędowym Województwa Śląskiego.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contextualSpacing w:val="0"/>
        <w:rPr>
          <w:rFonts w:eastAsia="Times New Roman" w:cs="Times New Roman"/>
          <w:szCs w:val="20"/>
        </w:rPr>
      </w:pP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contextualSpacing w:val="0"/>
        <w:jc w:val="center"/>
        <w:rPr>
          <w:rFonts w:eastAsia="Times New Roman" w:cs="Times New Roman"/>
          <w:szCs w:val="20"/>
        </w:rPr>
      </w:pPr>
      <w:r>
        <w:rPr>
          <w:rFonts w:eastAsia="Times New Roman" w:cs="Times New Roman"/>
          <w:caps/>
          <w:szCs w:val="20"/>
        </w:rPr>
        <w:t>Uzasadnienie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 xml:space="preserve">Podjęcie uchwały jest konieczne w celu zapewnienia zgodności dokumentu z obowiązującymi przepisami prawa i odzwierciedlenia stanu </w:t>
      </w:r>
      <w:r>
        <w:rPr>
          <w:rFonts w:eastAsia="Times New Roman" w:cs="Times New Roman"/>
          <w:szCs w:val="20"/>
        </w:rPr>
        <w:t>faktycznego</w:t>
      </w:r>
      <w:r>
        <w:rPr>
          <w:rFonts w:eastAsia="Times New Roman" w:cs="Times New Roman"/>
          <w:szCs w:val="20"/>
        </w:rPr>
        <w:t>, a wprowadzone zmiany mają charakter porządkujący.</w:t>
      </w:r>
    </w:p>
    <w:sectPr>
      <w:footerReference w:type="default" r:id="rId5"/>
      <w:endnotePr>
        <w:numFmt w:val="decimal"/>
      </w:endnotePr>
      <w:type w:val="nextPage"/>
      <w:pgSz w:w="11906" w:h="16838" w:code="0"/>
      <w:pgMar w:top="1417" w:right="1020" w:bottom="992" w:left="1020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8" w:type="dxa"/>
        <w:right w:w="108" w:type="dxa"/>
      </w:tblCellMar>
    </w:tblPr>
    <w:tblGrid>
      <w:gridCol w:w="6577"/>
      <w:gridCol w:w="3289"/>
    </w:tblGrid>
    <w:tr>
      <w:tblPrEx>
        <w:tblW w:w="5000" w:type="pct"/>
      </w:tblPrEx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00" w:type="dxa"/>
          </w:tcMar>
        </w:tcPr>
        <w:p>
          <w:pPr>
            <w:jc w:val="lef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>Id: 6AA2F317-A12E-47EF-B5EE-719E8561B09D. Projekt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00" w:type="dxa"/>
          </w:tcMar>
        </w:tcPr>
        <w:p>
          <w:pPr>
            <w:jc w:val="righ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 xml:space="preserve">Strona </w:t>
          </w:r>
          <w:r>
            <w:rPr>
              <w:rFonts w:ascii="Arial" w:eastAsia="Arial" w:hAnsi="Arial" w:cs="Arial"/>
              <w:b w:val="0"/>
              <w:sz w:val="18"/>
            </w:rPr>
            <w:fldChar w:fldCharType="begin"/>
          </w:r>
          <w:r>
            <w:rPr>
              <w:rFonts w:ascii="Arial" w:eastAsia="Arial" w:hAnsi="Arial" w:cs="Arial"/>
              <w:b w:val="0"/>
              <w:sz w:val="18"/>
            </w:rPr>
            <w:instrText>PAGE</w:instrText>
          </w:r>
          <w:r>
            <w:rPr>
              <w:rFonts w:ascii="Arial" w:eastAsia="Arial" w:hAnsi="Arial" w:cs="Arial"/>
              <w:b w:val="0"/>
              <w:sz w:val="18"/>
            </w:rPr>
            <w:fldChar w:fldCharType="separate"/>
          </w:r>
          <w:r>
            <w:rPr>
              <w:rFonts w:ascii="Arial" w:eastAsia="Arial" w:hAnsi="Arial" w:cs="Arial"/>
              <w:b w:val="0"/>
              <w:sz w:val="18"/>
            </w:rPr>
            <w:fldChar w:fldCharType="end"/>
          </w:r>
        </w:p>
      </w:tc>
    </w:tr>
  </w:tbl>
  <w:p>
    <w:pPr>
      <w:rPr>
        <w:rFonts w:ascii="Arial" w:eastAsia="Arial" w:hAnsi="Arial" w:cs="Arial"/>
        <w:b w:val="0"/>
        <w:sz w:val="18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8" w:type="dxa"/>
        <w:right w:w="108" w:type="dxa"/>
      </w:tblCellMar>
    </w:tblPr>
    <w:tblGrid>
      <w:gridCol w:w="6577"/>
      <w:gridCol w:w="3289"/>
    </w:tblGrid>
    <w:tr>
      <w:tblPrEx>
        <w:tblW w:w="5000" w:type="pct"/>
      </w:tblPrEx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00" w:type="dxa"/>
          </w:tcMar>
        </w:tcPr>
        <w:p>
          <w:pPr>
            <w:jc w:val="lef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>Id: 6AA2F317-A12E-47EF-B5EE-719E8561B09D. Projekt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00" w:type="dxa"/>
          </w:tcMar>
        </w:tcPr>
        <w:p>
          <w:pPr>
            <w:jc w:val="righ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 xml:space="preserve">Strona </w:t>
          </w:r>
          <w:r>
            <w:rPr>
              <w:rFonts w:ascii="Arial" w:eastAsia="Arial" w:hAnsi="Arial" w:cs="Arial"/>
              <w:b w:val="0"/>
              <w:sz w:val="18"/>
            </w:rPr>
            <w:fldChar w:fldCharType="begin"/>
          </w:r>
          <w:r>
            <w:rPr>
              <w:rFonts w:ascii="Arial" w:eastAsia="Arial" w:hAnsi="Arial" w:cs="Arial"/>
              <w:b w:val="0"/>
              <w:sz w:val="18"/>
            </w:rPr>
            <w:instrText>PAGE</w:instrText>
          </w:r>
          <w:r>
            <w:rPr>
              <w:rFonts w:ascii="Arial" w:eastAsia="Arial" w:hAnsi="Arial" w:cs="Arial"/>
              <w:b w:val="0"/>
              <w:sz w:val="18"/>
            </w:rPr>
            <w:fldChar w:fldCharType="separate"/>
          </w:r>
          <w:r>
            <w:rPr>
              <w:rFonts w:ascii="Arial" w:eastAsia="Arial" w:hAnsi="Arial" w:cs="Arial"/>
              <w:b w:val="0"/>
              <w:sz w:val="18"/>
            </w:rPr>
            <w:fldChar w:fldCharType="end"/>
          </w:r>
        </w:p>
      </w:tc>
    </w:tr>
  </w:tbl>
  <w:p>
    <w:pPr>
      <w:rPr>
        <w:rFonts w:ascii="Arial" w:eastAsia="Arial" w:hAnsi="Arial" w:cs="Arial"/>
        <w:b w:val="0"/>
        <w:sz w:val="18"/>
      </w:rPr>
    </w:pP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noPunctuationKerning/>
  <w:characterSpacingControl w:val="doNotCompress"/>
  <w:endnotePr>
    <w:numFmt w:val="decimal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pl-P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jc w:val="left"/>
    </w:pPr>
    <w:rPr>
      <w:rFonts w:ascii="Arial" w:eastAsia="Arial" w:hAnsi="Arial" w:cs="Arial"/>
      <w:sz w:val="24"/>
      <w:szCs w:val="24"/>
      <w:lang w:val="pl-PL" w:eastAsia="pl-PL" w:bidi="pl-PL"/>
    </w:rPr>
  </w:style>
  <w:style w:type="character" w:default="1" w:styleId="DefaultParagraphFont">
    <w:name w:val="Default Paragraph Font"/>
    <w:semiHidden/>
    <w:rPr>
      <w:lang w:val="pl-PL" w:eastAsia="pl-PL" w:bidi="pl-PL"/>
    </w:rPr>
  </w:style>
  <w:style w:type="table" w:default="1" w:styleId="TableNormal">
    <w:name w:val="Normal Table"/>
    <w:semiHidden/>
    <w:rPr>
      <w:lang w:val="pl-PL" w:eastAsia="pl-PL" w:bidi="pl-PL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footer" Target="footer2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/>
      </a:dk1>
      <a:lt1>
        <a:sysClr val="window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Rada Miejska w Bytomiu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</dc:title>
  <dc:subject>zmieniającą uchwałę nr XXIX/395/14 Rady Miejskiej w^Bytomiu w^sprawie określenia szczegółowego sposobu konsultowania z^radą działalności pożytku publicznego lub organizacjami pozarządowymi i^podmiotami wymienionymi w^art.^3^ust.^3^ustawy o^działalności pożytku publicznego i^o wolontariacie projektów aktów prawa miejscowego w^dziedzinach dotyczących działalności statutowej tych organizacji</dc:subject>
  <dc:creator>bmichel</dc:creator>
  <cp:lastModifiedBy>bmichel</cp:lastModifiedBy>
  <cp:revision>1</cp:revision>
  <dcterms:created xsi:type="dcterms:W3CDTF">2026-07-21T14:34:54Z</dcterms:created>
  <dcterms:modified xsi:type="dcterms:W3CDTF">2026-07-21T14:34:54Z</dcterms:modified>
  <cp:category>Akt prawny</cp:category>
</cp:coreProperties>
</file>