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944181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944181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6.4pt;margin-top:85pt;width:159.7pt;height:63.85pt;z-index:251660288" stroked="f">
            <v:textbox style="mso-next-textbox:#_x0000_s1028">
              <w:txbxContent>
                <w:p w:rsidR="00F97554" w:rsidRPr="00F77892" w:rsidRDefault="00F97554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F97554" w:rsidRPr="00F77892" w:rsidRDefault="00F97554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Kamil Jaszczak</w:t>
                  </w:r>
                </w:p>
                <w:p w:rsidR="00F97554" w:rsidRPr="00F77892" w:rsidRDefault="00F97554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F97554" w:rsidRPr="00F77892" w:rsidRDefault="00F97554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F97554" w:rsidRDefault="00F97554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F97554" w:rsidRPr="00F443D6" w:rsidRDefault="00F97554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F97554" w:rsidRPr="00C235C2" w:rsidRDefault="00F97554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F97554" w:rsidRPr="00F443D6" w:rsidRDefault="00F97554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F97554" w:rsidRPr="00C235C2" w:rsidRDefault="00F97554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F97554" w:rsidRDefault="00F97554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7960DD">
        <w:rPr>
          <w:rFonts w:ascii="Arial" w:hAnsi="Arial" w:cs="Arial"/>
        </w:rPr>
        <w:t>8</w:t>
      </w:r>
      <w:r w:rsidR="00222F8E">
        <w:rPr>
          <w:rFonts w:ascii="Arial" w:hAnsi="Arial" w:cs="Arial"/>
        </w:rPr>
        <w:t>9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A73112" w:rsidRDefault="00A73112" w:rsidP="00AA27F2">
      <w:pPr>
        <w:jc w:val="both"/>
        <w:rPr>
          <w:rFonts w:ascii="Arial" w:hAnsi="Arial" w:cs="Arial"/>
          <w:color w:val="000000"/>
        </w:rPr>
      </w:pPr>
    </w:p>
    <w:p w:rsidR="00DF2741" w:rsidRDefault="00DF2741" w:rsidP="00AA27F2">
      <w:pPr>
        <w:jc w:val="both"/>
        <w:rPr>
          <w:rFonts w:ascii="Arial" w:hAnsi="Arial" w:cs="Arial"/>
          <w:color w:val="000000"/>
        </w:rPr>
      </w:pPr>
    </w:p>
    <w:p w:rsidR="00DF2741" w:rsidRDefault="00DF2741" w:rsidP="00AA27F2">
      <w:pPr>
        <w:jc w:val="both"/>
        <w:rPr>
          <w:rFonts w:ascii="Arial" w:hAnsi="Arial" w:cs="Arial"/>
          <w:color w:val="000000"/>
        </w:rPr>
      </w:pPr>
    </w:p>
    <w:p w:rsidR="00DF2741" w:rsidRDefault="00DF2741" w:rsidP="00AA27F2">
      <w:pPr>
        <w:jc w:val="both"/>
        <w:rPr>
          <w:rFonts w:ascii="Arial" w:hAnsi="Arial" w:cs="Arial"/>
          <w:color w:val="000000"/>
        </w:rPr>
      </w:pPr>
    </w:p>
    <w:p w:rsidR="00DF2741" w:rsidRDefault="00DF2741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664EB7">
        <w:rPr>
          <w:rFonts w:ascii="Arial" w:hAnsi="Arial" w:cs="Arial"/>
        </w:rPr>
        <w:t>9</w:t>
      </w:r>
      <w:r w:rsidR="007960DD">
        <w:rPr>
          <w:rFonts w:ascii="Arial" w:hAnsi="Arial" w:cs="Arial"/>
        </w:rPr>
        <w:t>70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7960DD">
        <w:rPr>
          <w:rFonts w:ascii="Arial" w:hAnsi="Arial" w:cs="Arial"/>
        </w:rPr>
        <w:t>planowanego zjazdu na teren inwestycji spółki  DINO</w:t>
      </w:r>
      <w:r w:rsidR="00924027">
        <w:rPr>
          <w:rFonts w:ascii="Arial" w:hAnsi="Arial" w:cs="Arial"/>
        </w:rPr>
        <w:t xml:space="preserve"> POLSKA</w:t>
      </w:r>
      <w:r w:rsidR="007960DD">
        <w:rPr>
          <w:rFonts w:ascii="Arial" w:hAnsi="Arial" w:cs="Arial"/>
        </w:rPr>
        <w:t xml:space="preserve"> z ulicy Tadeusza Kościuszki w Bytomiu</w:t>
      </w:r>
      <w:r w:rsidR="0020320E">
        <w:rPr>
          <w:rFonts w:ascii="Arial" w:hAnsi="Arial" w:cs="Arial"/>
        </w:rPr>
        <w:t>.</w:t>
      </w:r>
    </w:p>
    <w:p w:rsidR="00D679BC" w:rsidRDefault="00D679BC" w:rsidP="00F85479">
      <w:pPr>
        <w:spacing w:line="276" w:lineRule="auto"/>
        <w:ind w:firstLine="708"/>
        <w:jc w:val="both"/>
        <w:rPr>
          <w:rFonts w:ascii="Arial" w:hAnsi="Arial" w:cs="Arial"/>
        </w:rPr>
      </w:pPr>
    </w:p>
    <w:p w:rsidR="00DF2741" w:rsidRDefault="00DF2741" w:rsidP="00413D36">
      <w:pPr>
        <w:spacing w:line="276" w:lineRule="auto"/>
        <w:ind w:right="-2" w:firstLine="708"/>
        <w:jc w:val="both"/>
        <w:rPr>
          <w:rFonts w:ascii="Arial" w:hAnsi="Arial" w:cs="Arial"/>
        </w:rPr>
      </w:pPr>
    </w:p>
    <w:p w:rsidR="00EB0D50" w:rsidRDefault="007762C9" w:rsidP="00413D36">
      <w:pPr>
        <w:spacing w:line="276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7960DD">
        <w:rPr>
          <w:rFonts w:ascii="Arial" w:hAnsi="Arial" w:cs="Arial"/>
        </w:rPr>
        <w:t>poniżej przesyłam odpowiedź na enumeratywnie zadane pytania i wnioski:</w:t>
      </w:r>
    </w:p>
    <w:p w:rsidR="007960DD" w:rsidRDefault="007960DD" w:rsidP="00413D36">
      <w:pPr>
        <w:pStyle w:val="Default"/>
        <w:spacing w:line="276" w:lineRule="auto"/>
      </w:pPr>
    </w:p>
    <w:p w:rsidR="007960DD" w:rsidRPr="00DE2987" w:rsidRDefault="007960DD" w:rsidP="00DF2741">
      <w:pPr>
        <w:pStyle w:val="Akapitzlist"/>
        <w:numPr>
          <w:ilvl w:val="0"/>
          <w:numId w:val="41"/>
        </w:numPr>
        <w:spacing w:after="160" w:line="276" w:lineRule="auto"/>
        <w:ind w:left="709" w:hanging="709"/>
        <w:contextualSpacing w:val="0"/>
        <w:jc w:val="both"/>
        <w:rPr>
          <w:rFonts w:ascii="Arial" w:hAnsi="Arial" w:cs="Arial"/>
        </w:rPr>
      </w:pPr>
      <w:r w:rsidRPr="00DE2987">
        <w:rPr>
          <w:rFonts w:ascii="Arial" w:hAnsi="Arial" w:cs="Arial"/>
        </w:rPr>
        <w:t>W załączeniu przekazuj</w:t>
      </w:r>
      <w:r w:rsidR="00DE2987">
        <w:rPr>
          <w:rFonts w:ascii="Arial" w:hAnsi="Arial" w:cs="Arial"/>
        </w:rPr>
        <w:t>ę</w:t>
      </w:r>
      <w:r w:rsidRPr="00DE2987">
        <w:rPr>
          <w:rFonts w:ascii="Arial" w:hAnsi="Arial" w:cs="Arial"/>
        </w:rPr>
        <w:t xml:space="preserve"> kopię decyzji zezwa</w:t>
      </w:r>
      <w:r w:rsidR="00DE2987">
        <w:rPr>
          <w:rFonts w:ascii="Arial" w:hAnsi="Arial" w:cs="Arial"/>
        </w:rPr>
        <w:t>lającej na lokalizację zjazdu z </w:t>
      </w:r>
      <w:r w:rsidRPr="00DE2987">
        <w:rPr>
          <w:rFonts w:ascii="Arial" w:hAnsi="Arial" w:cs="Arial"/>
        </w:rPr>
        <w:t>ulicy Tadeusza Kościuszki wraz z załącznikami, w tym załącznikiem graficznym określającym jego lokalizację i parametry.</w:t>
      </w:r>
    </w:p>
    <w:p w:rsidR="007960DD" w:rsidRPr="00DE2987" w:rsidRDefault="00DE2987" w:rsidP="00DF2741">
      <w:pPr>
        <w:pStyle w:val="Akapitzlist"/>
        <w:numPr>
          <w:ilvl w:val="0"/>
          <w:numId w:val="41"/>
        </w:numPr>
        <w:spacing w:after="160" w:line="276" w:lineRule="auto"/>
        <w:ind w:left="709" w:hanging="709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W załączeniu przekazuję</w:t>
      </w:r>
      <w:r w:rsidR="007960DD" w:rsidRPr="00DE29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kopię wniosku inwestora wraz z </w:t>
      </w:r>
      <w:r w:rsidR="007960DD" w:rsidRPr="00DE2987">
        <w:rPr>
          <w:rFonts w:ascii="Arial" w:hAnsi="Arial" w:cs="Arial"/>
        </w:rPr>
        <w:t>dokumentacją stanowiącą załącznik do wniosku.</w:t>
      </w:r>
    </w:p>
    <w:p w:rsidR="007960DD" w:rsidRPr="00DE2987" w:rsidRDefault="007960DD" w:rsidP="00DF2741">
      <w:pPr>
        <w:pStyle w:val="Akapitzlist"/>
        <w:numPr>
          <w:ilvl w:val="0"/>
          <w:numId w:val="41"/>
        </w:numPr>
        <w:spacing w:after="160" w:line="276" w:lineRule="auto"/>
        <w:ind w:left="709" w:hanging="709"/>
        <w:contextualSpacing w:val="0"/>
        <w:jc w:val="both"/>
        <w:rPr>
          <w:rFonts w:ascii="Arial" w:hAnsi="Arial" w:cs="Arial"/>
        </w:rPr>
      </w:pPr>
      <w:r w:rsidRPr="00DE2987">
        <w:rPr>
          <w:rFonts w:ascii="Arial" w:hAnsi="Arial" w:cs="Arial"/>
        </w:rPr>
        <w:t>Decyzja stała się ostateczna w dniu 18 sierpnia 2026 r.</w:t>
      </w:r>
    </w:p>
    <w:p w:rsidR="007960DD" w:rsidRPr="00DE2987" w:rsidRDefault="00C0019B" w:rsidP="00DF2741">
      <w:pPr>
        <w:pStyle w:val="Akapitzlist"/>
        <w:numPr>
          <w:ilvl w:val="0"/>
          <w:numId w:val="41"/>
        </w:numPr>
        <w:spacing w:after="160" w:line="276" w:lineRule="auto"/>
        <w:ind w:left="709" w:hanging="709"/>
        <w:contextualSpacing w:val="0"/>
        <w:jc w:val="both"/>
        <w:rPr>
          <w:sz w:val="22"/>
          <w:szCs w:val="22"/>
        </w:rPr>
      </w:pPr>
      <w:r w:rsidRPr="00DE2987">
        <w:rPr>
          <w:rFonts w:ascii="Arial" w:hAnsi="Arial" w:cs="Arial"/>
        </w:rPr>
        <w:t>W toku postępowania dotyczącego wydania zezwolenia na lokalizację zjazdu nie sporządzano odrębnych opinii, analiz ani opracowań dotyczących bezpieczeństwa ruchu drogowego lub bezpieczeństwa pieszych. Zezwolenie na lokalizację zjazdu zostało wydane na pod</w:t>
      </w:r>
      <w:r w:rsidR="000366B2">
        <w:rPr>
          <w:rFonts w:ascii="Arial" w:hAnsi="Arial" w:cs="Arial"/>
        </w:rPr>
        <w:t>stawie art. 29 ustawy z dnia 21 </w:t>
      </w:r>
      <w:r w:rsidRPr="00DE2987">
        <w:rPr>
          <w:rFonts w:ascii="Arial" w:hAnsi="Arial" w:cs="Arial"/>
        </w:rPr>
        <w:t xml:space="preserve">marca 1985 r. o drogach publicznych, po dokonaniu przez zarządcę drogi oceny projektowanego rozwiązania w zakresie możliwości skomunikowania nieruchomości z drogą publiczną oraz jego zgodności z obowiązującymi przepisami techniczno-budowlanymi, zasadami bezpieczeństwa ruchu drogowego i zasadami wiedzy technicznej. W toku prowadzonego postępowania nie stwierdzono przesłanek uzasadniających odmowę wydania zezwolenia, o których mowa w art. 29 ust. 4 ustawy o drogach publicznych. Jednocześnie kwestia bezpieczeństwa </w:t>
      </w:r>
      <w:r w:rsidR="000366B2">
        <w:rPr>
          <w:rFonts w:ascii="Arial" w:hAnsi="Arial" w:cs="Arial"/>
        </w:rPr>
        <w:t xml:space="preserve">pieszych została uwzględniona </w:t>
      </w:r>
      <w:r w:rsidR="000366B2">
        <w:rPr>
          <w:rFonts w:ascii="Arial" w:hAnsi="Arial" w:cs="Arial"/>
        </w:rPr>
        <w:lastRenderedPageBreak/>
        <w:t>w </w:t>
      </w:r>
      <w:r w:rsidRPr="00DE2987">
        <w:rPr>
          <w:rFonts w:ascii="Arial" w:hAnsi="Arial" w:cs="Arial"/>
        </w:rPr>
        <w:t xml:space="preserve">warunkach wydanej decyzji. </w:t>
      </w:r>
      <w:r w:rsidR="000366B2">
        <w:rPr>
          <w:rFonts w:ascii="Arial" w:hAnsi="Arial" w:cs="Arial"/>
        </w:rPr>
        <w:t>Nałożono obowiązek wykonania po </w:t>
      </w:r>
      <w:r w:rsidRPr="00DE2987">
        <w:rPr>
          <w:rFonts w:ascii="Arial" w:hAnsi="Arial" w:cs="Arial"/>
        </w:rPr>
        <w:t>południowej stronie ulicy Tadeusza Kościuszk</w:t>
      </w:r>
      <w:r w:rsidR="00413D36">
        <w:rPr>
          <w:rFonts w:ascii="Arial" w:hAnsi="Arial" w:cs="Arial"/>
        </w:rPr>
        <w:t>i, na odcinku od </w:t>
      </w:r>
      <w:r w:rsidR="000366B2">
        <w:rPr>
          <w:rFonts w:ascii="Arial" w:hAnsi="Arial" w:cs="Arial"/>
        </w:rPr>
        <w:t>skrzyżowania z </w:t>
      </w:r>
      <w:r w:rsidRPr="00DE2987">
        <w:rPr>
          <w:rFonts w:ascii="Arial" w:hAnsi="Arial" w:cs="Arial"/>
        </w:rPr>
        <w:t>ul. Gombrowicza do projektowane</w:t>
      </w:r>
      <w:r w:rsidR="00413D36">
        <w:rPr>
          <w:rFonts w:ascii="Arial" w:hAnsi="Arial" w:cs="Arial"/>
        </w:rPr>
        <w:t>go zjazdu, drogi dla </w:t>
      </w:r>
      <w:r w:rsidR="000366B2">
        <w:rPr>
          <w:rFonts w:ascii="Arial" w:hAnsi="Arial" w:cs="Arial"/>
        </w:rPr>
        <w:t>pieszych z </w:t>
      </w:r>
      <w:r w:rsidRPr="00DE2987">
        <w:rPr>
          <w:rFonts w:ascii="Arial" w:hAnsi="Arial" w:cs="Arial"/>
        </w:rPr>
        <w:t>zapewnieniem jej połączenia z istniejącym ciągiem pieszym przy ulicy Gombrowicza. W decyzji wskazano jednocześnie, że realizacja przedmiotowej drogi dla pieszych wymaga uzyskania odrębnej zgody zarządcy drogi i będzie przedmiotem odrębnego postępowania</w:t>
      </w:r>
      <w:r w:rsidRPr="00DE2987">
        <w:rPr>
          <w:sz w:val="22"/>
          <w:szCs w:val="22"/>
        </w:rPr>
        <w:t>.</w:t>
      </w:r>
    </w:p>
    <w:p w:rsidR="00C0019B" w:rsidRDefault="00C0019B" w:rsidP="00DF2741">
      <w:pPr>
        <w:pStyle w:val="Default"/>
        <w:numPr>
          <w:ilvl w:val="0"/>
          <w:numId w:val="41"/>
        </w:numPr>
        <w:spacing w:after="160" w:line="276" w:lineRule="auto"/>
        <w:ind w:left="709" w:hanging="709"/>
        <w:jc w:val="both"/>
        <w:rPr>
          <w:rFonts w:eastAsia="Times New Roman"/>
          <w:color w:val="auto"/>
          <w:lang w:eastAsia="pl-PL"/>
        </w:rPr>
      </w:pPr>
      <w:r w:rsidRPr="00C0019B">
        <w:rPr>
          <w:rFonts w:eastAsia="Times New Roman"/>
          <w:color w:val="auto"/>
          <w:lang w:eastAsia="pl-PL"/>
        </w:rPr>
        <w:t>Przed wydaniem zezwolenia na lokalizację zjazdu nie wykonywano odrębnych pomiarów natężenia ruchu na ul. Tadeusza Kościuszki ani nie sporządzano odrębnej analizy</w:t>
      </w:r>
      <w:r w:rsidRPr="00097187">
        <w:rPr>
          <w:rFonts w:eastAsia="Times New Roman"/>
          <w:color w:val="auto"/>
          <w:lang w:eastAsia="pl-PL"/>
        </w:rPr>
        <w:t xml:space="preserve"> komunikacyjnej, analizy bezpieczeństwa pieszych czy analizy przewidywanego wzrostu natężenia ruchu w związku z planowaną inwestycją. Tego rodzaju opracowania nie stanowiły dokumentów wymaganych w ramach prowadzonego przez zarządcę drogi postę</w:t>
      </w:r>
      <w:r w:rsidR="000366B2">
        <w:rPr>
          <w:rFonts w:eastAsia="Times New Roman"/>
          <w:color w:val="auto"/>
          <w:lang w:eastAsia="pl-PL"/>
        </w:rPr>
        <w:t>powania w sprawie zezwolenia na </w:t>
      </w:r>
      <w:r w:rsidRPr="00097187">
        <w:rPr>
          <w:rFonts w:eastAsia="Times New Roman"/>
          <w:color w:val="auto"/>
          <w:lang w:eastAsia="pl-PL"/>
        </w:rPr>
        <w:t>lokalizację zjazdu. Ocena projektowanego</w:t>
      </w:r>
      <w:r w:rsidR="000366B2">
        <w:rPr>
          <w:rFonts w:eastAsia="Times New Roman"/>
          <w:color w:val="auto"/>
          <w:lang w:eastAsia="pl-PL"/>
        </w:rPr>
        <w:t xml:space="preserve"> rozwiązania została dokonana w </w:t>
      </w:r>
      <w:r w:rsidRPr="00097187">
        <w:rPr>
          <w:rFonts w:eastAsia="Times New Roman"/>
          <w:color w:val="auto"/>
          <w:lang w:eastAsia="pl-PL"/>
        </w:rPr>
        <w:t xml:space="preserve">ramach postępowania prowadzonego na podstawie art. 29 </w:t>
      </w:r>
      <w:r w:rsidR="000366B2">
        <w:rPr>
          <w:rFonts w:eastAsia="Times New Roman"/>
          <w:color w:val="auto"/>
          <w:lang w:eastAsia="pl-PL"/>
        </w:rPr>
        <w:t>ustawy o </w:t>
      </w:r>
      <w:r w:rsidR="00097187">
        <w:rPr>
          <w:rFonts w:eastAsia="Times New Roman"/>
          <w:color w:val="auto"/>
          <w:lang w:eastAsia="pl-PL"/>
        </w:rPr>
        <w:t>drogach publicznych, z </w:t>
      </w:r>
      <w:r w:rsidRPr="00097187">
        <w:rPr>
          <w:rFonts w:eastAsia="Times New Roman"/>
          <w:color w:val="auto"/>
          <w:lang w:eastAsia="pl-PL"/>
        </w:rPr>
        <w:t>uwzględnieniem obowiązujących przepisów techniczno-budowlanych, zasad bezpieczeństwa ruchu drogowego oraz zasad wiedzy technicznej. Przy ocenie rozwiązania uwzględniono również sposób obsługi komunikacyjnej inwestycji. Podstawowa obsługa dostaw oraz ruch pojazdów ciężarowych została przewidziana od strony ul</w:t>
      </w:r>
      <w:r w:rsidR="00097187">
        <w:rPr>
          <w:rFonts w:eastAsia="Times New Roman"/>
          <w:color w:val="auto"/>
          <w:lang w:eastAsia="pl-PL"/>
        </w:rPr>
        <w:t>icy</w:t>
      </w:r>
      <w:r w:rsidRPr="00097187">
        <w:rPr>
          <w:rFonts w:eastAsia="Times New Roman"/>
          <w:color w:val="auto"/>
          <w:lang w:eastAsia="pl-PL"/>
        </w:rPr>
        <w:t xml:space="preserve"> Gombrowicza, natomiast zjazd z ul</w:t>
      </w:r>
      <w:r w:rsidR="00097187">
        <w:rPr>
          <w:rFonts w:eastAsia="Times New Roman"/>
          <w:color w:val="auto"/>
          <w:lang w:eastAsia="pl-PL"/>
        </w:rPr>
        <w:t>icy</w:t>
      </w:r>
      <w:r w:rsidRPr="00097187">
        <w:rPr>
          <w:rFonts w:eastAsia="Times New Roman"/>
          <w:color w:val="auto"/>
          <w:lang w:eastAsia="pl-PL"/>
        </w:rPr>
        <w:t xml:space="preserve"> Tadeusza Kościuszki</w:t>
      </w:r>
      <w:r w:rsidR="00DF16F3">
        <w:rPr>
          <w:rFonts w:eastAsia="Times New Roman"/>
          <w:color w:val="auto"/>
          <w:lang w:eastAsia="pl-PL"/>
        </w:rPr>
        <w:t xml:space="preserve"> przeznaczony jest wyłącznie do </w:t>
      </w:r>
      <w:r w:rsidRPr="00097187">
        <w:rPr>
          <w:rFonts w:eastAsia="Times New Roman"/>
          <w:color w:val="auto"/>
          <w:lang w:eastAsia="pl-PL"/>
        </w:rPr>
        <w:t xml:space="preserve">obsługi ruchu pojazdów osobowych. </w:t>
      </w:r>
      <w:r w:rsidR="00097187">
        <w:rPr>
          <w:rFonts w:eastAsia="Times New Roman"/>
          <w:color w:val="auto"/>
          <w:lang w:eastAsia="pl-PL"/>
        </w:rPr>
        <w:t>W związku z </w:t>
      </w:r>
      <w:r w:rsidRPr="00097187">
        <w:rPr>
          <w:rFonts w:eastAsia="Times New Roman"/>
          <w:color w:val="auto"/>
          <w:lang w:eastAsia="pl-PL"/>
        </w:rPr>
        <w:t xml:space="preserve">powyższym </w:t>
      </w:r>
      <w:r w:rsidR="00097187">
        <w:rPr>
          <w:rFonts w:eastAsia="Times New Roman"/>
          <w:color w:val="auto"/>
          <w:lang w:eastAsia="pl-PL"/>
        </w:rPr>
        <w:t>zarządca drogi</w:t>
      </w:r>
      <w:r w:rsidRPr="00097187">
        <w:rPr>
          <w:rFonts w:eastAsia="Times New Roman"/>
          <w:color w:val="auto"/>
          <w:lang w:eastAsia="pl-PL"/>
        </w:rPr>
        <w:t xml:space="preserve"> nie posiada wyników ani dokumentów źród</w:t>
      </w:r>
      <w:r w:rsidR="000366B2">
        <w:rPr>
          <w:rFonts w:eastAsia="Times New Roman"/>
          <w:color w:val="auto"/>
          <w:lang w:eastAsia="pl-PL"/>
        </w:rPr>
        <w:t>łowych dotyczących wskazanych w </w:t>
      </w:r>
      <w:r w:rsidRPr="00097187">
        <w:rPr>
          <w:rFonts w:eastAsia="Times New Roman"/>
          <w:color w:val="auto"/>
          <w:lang w:eastAsia="pl-PL"/>
        </w:rPr>
        <w:t>interpelacji pomiarów i analiz,</w:t>
      </w:r>
      <w:r w:rsidR="00AE0219">
        <w:rPr>
          <w:rFonts w:eastAsia="Times New Roman"/>
          <w:color w:val="auto"/>
          <w:lang w:eastAsia="pl-PL"/>
        </w:rPr>
        <w:t xml:space="preserve"> ponieważ takie opracowania nie </w:t>
      </w:r>
      <w:r w:rsidRPr="00097187">
        <w:rPr>
          <w:rFonts w:eastAsia="Times New Roman"/>
          <w:color w:val="auto"/>
          <w:lang w:eastAsia="pl-PL"/>
        </w:rPr>
        <w:t>były sporządzane w ramach przedmiotowego postępowania.</w:t>
      </w:r>
    </w:p>
    <w:p w:rsidR="00097187" w:rsidRDefault="00097187" w:rsidP="00DF2741">
      <w:pPr>
        <w:pStyle w:val="Default"/>
        <w:numPr>
          <w:ilvl w:val="0"/>
          <w:numId w:val="41"/>
        </w:numPr>
        <w:spacing w:after="160" w:line="276" w:lineRule="auto"/>
        <w:ind w:left="709" w:hanging="709"/>
        <w:jc w:val="both"/>
        <w:rPr>
          <w:rFonts w:eastAsia="Times New Roman"/>
          <w:color w:val="auto"/>
          <w:lang w:eastAsia="pl-PL"/>
        </w:rPr>
      </w:pPr>
      <w:r w:rsidRPr="00097187">
        <w:rPr>
          <w:rFonts w:eastAsia="Times New Roman"/>
          <w:color w:val="auto"/>
          <w:lang w:eastAsia="pl-PL"/>
        </w:rPr>
        <w:t>Inwestor w pierwszej kolejności wystąpił o możliwość obsługi komunikacyjnej planowanej inwestycji od strony ul</w:t>
      </w:r>
      <w:r>
        <w:rPr>
          <w:rFonts w:eastAsia="Times New Roman"/>
          <w:color w:val="auto"/>
          <w:lang w:eastAsia="pl-PL"/>
        </w:rPr>
        <w:t>icy</w:t>
      </w:r>
      <w:r w:rsidRPr="00097187">
        <w:rPr>
          <w:rFonts w:eastAsia="Times New Roman"/>
          <w:color w:val="auto"/>
          <w:lang w:eastAsia="pl-PL"/>
        </w:rPr>
        <w:t xml:space="preserve"> Gombrowicza. Dla tego rozwiązania została wydana zgoda na lokalizację zjazdu oraz decyzja zezwalająca na jego realizację. Następnie inwestor wystąpił o możliwość wy</w:t>
      </w:r>
      <w:r>
        <w:rPr>
          <w:rFonts w:eastAsia="Times New Roman"/>
          <w:color w:val="auto"/>
          <w:lang w:eastAsia="pl-PL"/>
        </w:rPr>
        <w:t>konania dodatkowego zjazdu z ulicy</w:t>
      </w:r>
      <w:r w:rsidRPr="00097187">
        <w:rPr>
          <w:rFonts w:eastAsia="Times New Roman"/>
          <w:color w:val="auto"/>
          <w:lang w:eastAsia="pl-PL"/>
        </w:rPr>
        <w:t xml:space="preserve"> Tadeusza Kościuszki. Dla tego zjazdu przeprowadzono odrębne postępowanie administracyjne i wydano odrębną decyzję zezwalającą na jego lokalizację. Tym samym wariant obsługi inwestycji od strony ul</w:t>
      </w:r>
      <w:r>
        <w:rPr>
          <w:rFonts w:eastAsia="Times New Roman"/>
          <w:color w:val="auto"/>
          <w:lang w:eastAsia="pl-PL"/>
        </w:rPr>
        <w:t>icy</w:t>
      </w:r>
      <w:r w:rsidRPr="00097187">
        <w:rPr>
          <w:rFonts w:eastAsia="Times New Roman"/>
          <w:color w:val="auto"/>
          <w:lang w:eastAsia="pl-PL"/>
        </w:rPr>
        <w:t xml:space="preserve"> Gombrowicza nie został odrzucony ani zastąpiony przez zjazd z ul</w:t>
      </w:r>
      <w:r w:rsidR="00143C1A">
        <w:rPr>
          <w:rFonts w:eastAsia="Times New Roman"/>
          <w:color w:val="auto"/>
          <w:lang w:eastAsia="pl-PL"/>
        </w:rPr>
        <w:t>icy</w:t>
      </w:r>
      <w:r w:rsidRPr="00097187">
        <w:rPr>
          <w:rFonts w:eastAsia="Times New Roman"/>
          <w:color w:val="auto"/>
          <w:lang w:eastAsia="pl-PL"/>
        </w:rPr>
        <w:t xml:space="preserve"> Tadeusza Kościuszki. Zjazd z ul</w:t>
      </w:r>
      <w:r>
        <w:rPr>
          <w:rFonts w:eastAsia="Times New Roman"/>
          <w:color w:val="auto"/>
          <w:lang w:eastAsia="pl-PL"/>
        </w:rPr>
        <w:t>icy</w:t>
      </w:r>
      <w:r w:rsidRPr="00097187">
        <w:rPr>
          <w:rFonts w:eastAsia="Times New Roman"/>
          <w:color w:val="auto"/>
          <w:lang w:eastAsia="pl-PL"/>
        </w:rPr>
        <w:t xml:space="preserve"> Kościuszki stanowi dodatkowy element obsługi komunikacyjnej inwestycji. Zgodnie z</w:t>
      </w:r>
      <w:r>
        <w:rPr>
          <w:rFonts w:eastAsia="Times New Roman"/>
          <w:color w:val="auto"/>
          <w:lang w:eastAsia="pl-PL"/>
        </w:rPr>
        <w:t xml:space="preserve"> wydanym zezwoleniem, jak już podkreślono,  zjazd z ulicy</w:t>
      </w:r>
      <w:r w:rsidRPr="00097187">
        <w:rPr>
          <w:rFonts w:eastAsia="Times New Roman"/>
          <w:color w:val="auto"/>
          <w:lang w:eastAsia="pl-PL"/>
        </w:rPr>
        <w:t xml:space="preserve"> Tadeusza Kościuszki przeznaczony jest wyłą</w:t>
      </w:r>
      <w:r>
        <w:rPr>
          <w:rFonts w:eastAsia="Times New Roman"/>
          <w:color w:val="auto"/>
          <w:lang w:eastAsia="pl-PL"/>
        </w:rPr>
        <w:t>cznie do </w:t>
      </w:r>
      <w:r w:rsidRPr="00097187">
        <w:rPr>
          <w:rFonts w:eastAsia="Times New Roman"/>
          <w:color w:val="auto"/>
          <w:lang w:eastAsia="pl-PL"/>
        </w:rPr>
        <w:t>obsługi ruchu pojazdów osobowych, natomiast obsługa dostaw oraz ruch pojazdów ciężarowych przewidziane został</w:t>
      </w:r>
      <w:r>
        <w:rPr>
          <w:rFonts w:eastAsia="Times New Roman"/>
          <w:color w:val="auto"/>
          <w:lang w:eastAsia="pl-PL"/>
        </w:rPr>
        <w:t>y od strony ulicy</w:t>
      </w:r>
      <w:r w:rsidRPr="00097187">
        <w:rPr>
          <w:rFonts w:eastAsia="Times New Roman"/>
          <w:color w:val="auto"/>
          <w:lang w:eastAsia="pl-PL"/>
        </w:rPr>
        <w:t xml:space="preserve"> Gombrowicza.</w:t>
      </w:r>
    </w:p>
    <w:p w:rsidR="00097187" w:rsidRDefault="00097187" w:rsidP="00DF2741">
      <w:pPr>
        <w:pStyle w:val="Default"/>
        <w:numPr>
          <w:ilvl w:val="0"/>
          <w:numId w:val="41"/>
        </w:numPr>
        <w:spacing w:after="160" w:line="276" w:lineRule="auto"/>
        <w:ind w:left="709" w:hanging="709"/>
        <w:jc w:val="both"/>
        <w:rPr>
          <w:rFonts w:eastAsia="Times New Roman"/>
          <w:color w:val="auto"/>
          <w:lang w:eastAsia="pl-PL"/>
        </w:rPr>
      </w:pPr>
      <w:r>
        <w:rPr>
          <w:rFonts w:eastAsia="Times New Roman"/>
          <w:color w:val="auto"/>
          <w:lang w:eastAsia="pl-PL"/>
        </w:rPr>
        <w:t>Na dzień dzisiejszy inwestor nie wystosow</w:t>
      </w:r>
      <w:r w:rsidR="000D3B0E">
        <w:rPr>
          <w:rFonts w:eastAsia="Times New Roman"/>
          <w:color w:val="auto"/>
          <w:lang w:eastAsia="pl-PL"/>
        </w:rPr>
        <w:t>ał wniosku o zaopiniowanie, jak </w:t>
      </w:r>
      <w:r>
        <w:rPr>
          <w:rFonts w:eastAsia="Times New Roman"/>
          <w:color w:val="auto"/>
          <w:lang w:eastAsia="pl-PL"/>
        </w:rPr>
        <w:t>również zatwierdzenie projektu zmiany</w:t>
      </w:r>
      <w:r w:rsidR="000D3B0E">
        <w:rPr>
          <w:rFonts w:eastAsia="Times New Roman"/>
          <w:color w:val="auto"/>
          <w:lang w:eastAsia="pl-PL"/>
        </w:rPr>
        <w:t xml:space="preserve"> docelowej organizacji ruchu na </w:t>
      </w:r>
      <w:r>
        <w:rPr>
          <w:rFonts w:eastAsia="Times New Roman"/>
          <w:color w:val="auto"/>
          <w:lang w:eastAsia="pl-PL"/>
        </w:rPr>
        <w:t>ulicy Tadeusza Kościuszki. Po wpływie w</w:t>
      </w:r>
      <w:r w:rsidR="000366B2">
        <w:rPr>
          <w:rFonts w:eastAsia="Times New Roman"/>
          <w:color w:val="auto"/>
          <w:lang w:eastAsia="pl-PL"/>
        </w:rPr>
        <w:t>ymienionego wniosku zostanie on </w:t>
      </w:r>
      <w:r>
        <w:rPr>
          <w:rFonts w:eastAsia="Times New Roman"/>
          <w:color w:val="auto"/>
          <w:lang w:eastAsia="pl-PL"/>
        </w:rPr>
        <w:t>procedowany zgodnie z obowiązującymi w tym zakresie przepisami.</w:t>
      </w:r>
    </w:p>
    <w:p w:rsidR="00DF2741" w:rsidRDefault="00DF2741" w:rsidP="00DF2741">
      <w:pPr>
        <w:pStyle w:val="Default"/>
        <w:spacing w:after="160" w:line="276" w:lineRule="auto"/>
        <w:jc w:val="both"/>
        <w:rPr>
          <w:rFonts w:eastAsia="Times New Roman"/>
          <w:color w:val="auto"/>
          <w:lang w:eastAsia="pl-PL"/>
        </w:rPr>
      </w:pPr>
    </w:p>
    <w:p w:rsidR="00097187" w:rsidRDefault="00097187" w:rsidP="00DF2741">
      <w:pPr>
        <w:pStyle w:val="Default"/>
        <w:numPr>
          <w:ilvl w:val="0"/>
          <w:numId w:val="41"/>
        </w:numPr>
        <w:spacing w:after="160" w:line="276" w:lineRule="auto"/>
        <w:ind w:left="709" w:hanging="709"/>
        <w:jc w:val="both"/>
        <w:rPr>
          <w:rFonts w:eastAsia="Times New Roman"/>
          <w:color w:val="auto"/>
          <w:lang w:eastAsia="pl-PL"/>
        </w:rPr>
      </w:pPr>
      <w:r w:rsidRPr="00097187">
        <w:rPr>
          <w:rFonts w:eastAsia="Times New Roman"/>
          <w:color w:val="auto"/>
          <w:lang w:eastAsia="pl-PL"/>
        </w:rPr>
        <w:t>Zgodnie z wydaną decyzją zjazd z ul</w:t>
      </w:r>
      <w:r>
        <w:rPr>
          <w:rFonts w:eastAsia="Times New Roman"/>
          <w:color w:val="auto"/>
          <w:lang w:eastAsia="pl-PL"/>
        </w:rPr>
        <w:t>icy</w:t>
      </w:r>
      <w:r w:rsidRPr="00097187">
        <w:rPr>
          <w:rFonts w:eastAsia="Times New Roman"/>
          <w:color w:val="auto"/>
          <w:lang w:eastAsia="pl-PL"/>
        </w:rPr>
        <w:t xml:space="preserve"> Tadeusza Kościuszki przeznaczony jest wyłącznie do obsługi ruchu pojazdów osobowych. Obsługa dostaw oraz ruch pojazdów ciężarowych przewidziane został</w:t>
      </w:r>
      <w:r>
        <w:rPr>
          <w:rFonts w:eastAsia="Times New Roman"/>
          <w:color w:val="auto"/>
          <w:lang w:eastAsia="pl-PL"/>
        </w:rPr>
        <w:t>y od strony ulicy</w:t>
      </w:r>
      <w:r w:rsidRPr="00097187">
        <w:rPr>
          <w:rFonts w:eastAsia="Times New Roman"/>
          <w:color w:val="auto"/>
          <w:lang w:eastAsia="pl-PL"/>
        </w:rPr>
        <w:t xml:space="preserve"> Gombrowicza.</w:t>
      </w:r>
      <w:r>
        <w:rPr>
          <w:rFonts w:eastAsia="Times New Roman"/>
          <w:color w:val="auto"/>
          <w:lang w:eastAsia="pl-PL"/>
        </w:rPr>
        <w:t xml:space="preserve"> </w:t>
      </w:r>
      <w:r w:rsidRPr="00097187">
        <w:rPr>
          <w:rFonts w:eastAsia="Times New Roman"/>
          <w:color w:val="auto"/>
          <w:lang w:eastAsia="pl-PL"/>
        </w:rPr>
        <w:t>Sposób organizacji ruchu zapewniający przestrzeganie powyższego ograniczenia zostanie określony w projekcie docelowej organizacji ruchu opracowanym przez inwestora</w:t>
      </w:r>
      <w:r>
        <w:rPr>
          <w:rFonts w:eastAsia="Times New Roman"/>
          <w:color w:val="auto"/>
          <w:lang w:eastAsia="pl-PL"/>
        </w:rPr>
        <w:t>. Jak określono w punkcie poprzedzającym projekt do dnia dzisiejszego nie został złożony.</w:t>
      </w:r>
    </w:p>
    <w:p w:rsidR="00136EED" w:rsidRDefault="00136EED" w:rsidP="00DF2741">
      <w:pPr>
        <w:pStyle w:val="Default"/>
        <w:numPr>
          <w:ilvl w:val="0"/>
          <w:numId w:val="41"/>
        </w:numPr>
        <w:spacing w:after="160" w:line="276" w:lineRule="auto"/>
        <w:ind w:left="709" w:hanging="709"/>
        <w:jc w:val="both"/>
        <w:rPr>
          <w:rFonts w:eastAsia="Times New Roman"/>
          <w:color w:val="auto"/>
          <w:lang w:eastAsia="pl-PL"/>
        </w:rPr>
      </w:pPr>
      <w:r w:rsidRPr="00136EED">
        <w:rPr>
          <w:rFonts w:eastAsia="Times New Roman"/>
          <w:color w:val="auto"/>
          <w:lang w:eastAsia="pl-PL"/>
        </w:rPr>
        <w:t>Pomiędzy Miastem Bytom, Miejskim Zarządem Dróg i Mostó</w:t>
      </w:r>
      <w:r>
        <w:rPr>
          <w:rFonts w:eastAsia="Times New Roman"/>
          <w:color w:val="auto"/>
          <w:lang w:eastAsia="pl-PL"/>
        </w:rPr>
        <w:t>w w Bytomiu a </w:t>
      </w:r>
      <w:r w:rsidRPr="00136EED">
        <w:rPr>
          <w:rFonts w:eastAsia="Times New Roman"/>
          <w:color w:val="auto"/>
          <w:lang w:eastAsia="pl-PL"/>
        </w:rPr>
        <w:t>inwestorem nie została zawarta umowa ani porozumienie dotyczące budowy, przebudowy lub finansowania infr</w:t>
      </w:r>
      <w:r w:rsidR="000366B2">
        <w:rPr>
          <w:rFonts w:eastAsia="Times New Roman"/>
          <w:color w:val="auto"/>
          <w:lang w:eastAsia="pl-PL"/>
        </w:rPr>
        <w:t>astruktury drogowej związanej z </w:t>
      </w:r>
      <w:r w:rsidRPr="00136EED">
        <w:rPr>
          <w:rFonts w:eastAsia="Times New Roman"/>
          <w:color w:val="auto"/>
          <w:lang w:eastAsia="pl-PL"/>
        </w:rPr>
        <w:t>przedmiotową inwestycją w tym</w:t>
      </w:r>
      <w:r w:rsidR="00143C1A">
        <w:rPr>
          <w:rFonts w:eastAsia="Times New Roman"/>
          <w:color w:val="auto"/>
          <w:lang w:eastAsia="pl-PL"/>
        </w:rPr>
        <w:t>,</w:t>
      </w:r>
      <w:r w:rsidRPr="00136EED">
        <w:rPr>
          <w:rFonts w:eastAsia="Times New Roman"/>
          <w:color w:val="auto"/>
          <w:lang w:eastAsia="pl-PL"/>
        </w:rPr>
        <w:t xml:space="preserve"> w zakresie art. 16 ustawy o drogach publicznych.</w:t>
      </w:r>
    </w:p>
    <w:p w:rsidR="00136EED" w:rsidRPr="00924027" w:rsidRDefault="00136EED" w:rsidP="00DF2741">
      <w:pPr>
        <w:pStyle w:val="Default"/>
        <w:numPr>
          <w:ilvl w:val="0"/>
          <w:numId w:val="41"/>
        </w:numPr>
        <w:spacing w:after="160" w:line="276" w:lineRule="auto"/>
        <w:ind w:left="709" w:hanging="709"/>
        <w:jc w:val="both"/>
        <w:rPr>
          <w:rFonts w:eastAsia="Times New Roman"/>
          <w:color w:val="auto"/>
          <w:lang w:eastAsia="pl-PL"/>
        </w:rPr>
      </w:pPr>
      <w:r w:rsidRPr="00924027">
        <w:rPr>
          <w:rFonts w:eastAsia="Times New Roman"/>
          <w:color w:val="auto"/>
          <w:lang w:eastAsia="pl-PL"/>
        </w:rPr>
        <w:t xml:space="preserve">W ramach postępowania dotyczącego lokalizacji zjazdu z ulicy Tadeusza Kościuszki uwzględniono konieczność zapewnienia odpowiednich warunków dla ruchu pieszych. </w:t>
      </w:r>
      <w:r w:rsidR="00924027">
        <w:rPr>
          <w:rFonts w:eastAsia="Times New Roman"/>
          <w:color w:val="auto"/>
          <w:lang w:eastAsia="pl-PL"/>
        </w:rPr>
        <w:t>W</w:t>
      </w:r>
      <w:r w:rsidRPr="00924027">
        <w:rPr>
          <w:rFonts w:eastAsia="Times New Roman"/>
          <w:color w:val="auto"/>
          <w:lang w:eastAsia="pl-PL"/>
        </w:rPr>
        <w:t xml:space="preserve"> wydanej decyzji nałożono na inwestora obowiązek wykonania po południowej stronie ulicy Tadeusza Kościuszki, na odcinku od</w:t>
      </w:r>
      <w:r w:rsidR="000366B2">
        <w:rPr>
          <w:rFonts w:eastAsia="Times New Roman"/>
          <w:color w:val="auto"/>
          <w:lang w:eastAsia="pl-PL"/>
        </w:rPr>
        <w:t> </w:t>
      </w:r>
      <w:r w:rsidRPr="00924027">
        <w:rPr>
          <w:rFonts w:eastAsia="Times New Roman"/>
          <w:color w:val="auto"/>
          <w:lang w:eastAsia="pl-PL"/>
        </w:rPr>
        <w:t>skrzyżowania z ulicy Gombrowicza do p</w:t>
      </w:r>
      <w:r w:rsidR="000366B2">
        <w:rPr>
          <w:rFonts w:eastAsia="Times New Roman"/>
          <w:color w:val="auto"/>
          <w:lang w:eastAsia="pl-PL"/>
        </w:rPr>
        <w:t>rojektowanego zjazdu, drogi dla </w:t>
      </w:r>
      <w:r w:rsidRPr="00924027">
        <w:rPr>
          <w:rFonts w:eastAsia="Times New Roman"/>
          <w:color w:val="auto"/>
          <w:lang w:eastAsia="pl-PL"/>
        </w:rPr>
        <w:t>pieszych oraz zapewnienia jej połączenia z istniejącym ciągiem pieszym przy ulicy Gombrowicza. Jednocześnie w dec</w:t>
      </w:r>
      <w:r w:rsidR="000366B2">
        <w:rPr>
          <w:rFonts w:eastAsia="Times New Roman"/>
          <w:color w:val="auto"/>
          <w:lang w:eastAsia="pl-PL"/>
        </w:rPr>
        <w:t>yzji jednoznacznie wskazano, że </w:t>
      </w:r>
      <w:r w:rsidRPr="00924027">
        <w:rPr>
          <w:rFonts w:eastAsia="Times New Roman"/>
          <w:color w:val="auto"/>
          <w:lang w:eastAsia="pl-PL"/>
        </w:rPr>
        <w:t>realizacja przedmiotowej drogi dla pieszych wymaga uzyskania odrębnej zgody zarządcy drogi i będzie przedm</w:t>
      </w:r>
      <w:r w:rsidR="000366B2">
        <w:rPr>
          <w:rFonts w:eastAsia="Times New Roman"/>
          <w:color w:val="auto"/>
          <w:lang w:eastAsia="pl-PL"/>
        </w:rPr>
        <w:t>iotem odrębnego postępowania. W </w:t>
      </w:r>
      <w:r w:rsidRPr="00924027">
        <w:rPr>
          <w:rFonts w:eastAsia="Times New Roman"/>
          <w:color w:val="auto"/>
          <w:lang w:eastAsia="pl-PL"/>
        </w:rPr>
        <w:t>ramach postępowania dotyczącego lokalizacji zjazdu nie nakładano natomiast na inwestora obowiązku budowy lub współfinansowania przejścia dla pieszych, oświetlenia, urządzeń służących uspokojeniu ruchu ani innych elementów infrastruktury wymienionych w interpelacji. Ponadto w decyzji określono, że trasy technologiczne dla sprzętu i maszyn budowlanych należy wyznaczyć w sposób zapewniający ochronę istniejącej infrastruktury drogowej przed uszkodzeniem.</w:t>
      </w:r>
    </w:p>
    <w:p w:rsidR="00136EED" w:rsidRPr="00035F48" w:rsidRDefault="00136EED" w:rsidP="00DF2741">
      <w:pPr>
        <w:pStyle w:val="Default"/>
        <w:numPr>
          <w:ilvl w:val="0"/>
          <w:numId w:val="41"/>
        </w:numPr>
        <w:spacing w:after="160" w:line="276" w:lineRule="auto"/>
        <w:ind w:left="709" w:hanging="709"/>
        <w:jc w:val="both"/>
        <w:rPr>
          <w:rFonts w:eastAsia="Times New Roman"/>
          <w:color w:val="auto"/>
          <w:lang w:eastAsia="pl-PL"/>
        </w:rPr>
      </w:pPr>
      <w:r w:rsidRPr="00136EED">
        <w:rPr>
          <w:rFonts w:eastAsia="Times New Roman"/>
          <w:color w:val="auto"/>
          <w:lang w:eastAsia="pl-PL"/>
        </w:rPr>
        <w:t>W odniesieniu do budowy drogi dla pieszyc</w:t>
      </w:r>
      <w:r w:rsidR="00035F48">
        <w:rPr>
          <w:rFonts w:eastAsia="Times New Roman"/>
          <w:color w:val="auto"/>
          <w:lang w:eastAsia="pl-PL"/>
        </w:rPr>
        <w:t>h przy przedmiotowym odcinku ulicy</w:t>
      </w:r>
      <w:r w:rsidRPr="00136EED">
        <w:rPr>
          <w:rFonts w:eastAsia="Times New Roman"/>
          <w:color w:val="auto"/>
          <w:lang w:eastAsia="pl-PL"/>
        </w:rPr>
        <w:t xml:space="preserve"> Tadeusza Kościuszki należy wskazać, że w wydanej decyzji zezwalają</w:t>
      </w:r>
      <w:r w:rsidR="00035F48">
        <w:rPr>
          <w:rFonts w:eastAsia="Times New Roman"/>
          <w:color w:val="auto"/>
          <w:lang w:eastAsia="pl-PL"/>
        </w:rPr>
        <w:t>cej na </w:t>
      </w:r>
      <w:r w:rsidRPr="00136EED">
        <w:rPr>
          <w:rFonts w:eastAsia="Times New Roman"/>
          <w:color w:val="auto"/>
          <w:lang w:eastAsia="pl-PL"/>
        </w:rPr>
        <w:t>lokalizację zjazdu określono obowiązek jej wykonania po poł</w:t>
      </w:r>
      <w:r w:rsidR="00035F48">
        <w:rPr>
          <w:rFonts w:eastAsia="Times New Roman"/>
          <w:color w:val="auto"/>
          <w:lang w:eastAsia="pl-PL"/>
        </w:rPr>
        <w:t>udniowej stronie ulicy</w:t>
      </w:r>
      <w:r w:rsidRPr="00136EED">
        <w:rPr>
          <w:rFonts w:eastAsia="Times New Roman"/>
          <w:color w:val="auto"/>
          <w:lang w:eastAsia="pl-PL"/>
        </w:rPr>
        <w:t xml:space="preserve"> Tadeusza Kościuszki, na odcinku od skrzyżowania z ul</w:t>
      </w:r>
      <w:r w:rsidR="00035F48">
        <w:rPr>
          <w:rFonts w:eastAsia="Times New Roman"/>
          <w:color w:val="auto"/>
          <w:lang w:eastAsia="pl-PL"/>
        </w:rPr>
        <w:t>icą Gombrowicza do </w:t>
      </w:r>
      <w:r w:rsidRPr="00136EED">
        <w:rPr>
          <w:rFonts w:eastAsia="Times New Roman"/>
          <w:color w:val="auto"/>
          <w:lang w:eastAsia="pl-PL"/>
        </w:rPr>
        <w:t>projektowanego zjazdu, w</w:t>
      </w:r>
      <w:r w:rsidR="000366B2">
        <w:rPr>
          <w:rFonts w:eastAsia="Times New Roman"/>
          <w:color w:val="auto"/>
          <w:lang w:eastAsia="pl-PL"/>
        </w:rPr>
        <w:t>raz z zapewnieniem połączenia z </w:t>
      </w:r>
      <w:r w:rsidRPr="00136EED">
        <w:rPr>
          <w:rFonts w:eastAsia="Times New Roman"/>
          <w:color w:val="auto"/>
          <w:lang w:eastAsia="pl-PL"/>
        </w:rPr>
        <w:t>istniejącym cią</w:t>
      </w:r>
      <w:r w:rsidR="00035F48">
        <w:rPr>
          <w:rFonts w:eastAsia="Times New Roman"/>
          <w:color w:val="auto"/>
          <w:lang w:eastAsia="pl-PL"/>
        </w:rPr>
        <w:t>giem pieszym przy ulicy</w:t>
      </w:r>
      <w:r w:rsidRPr="00136EED">
        <w:rPr>
          <w:rFonts w:eastAsia="Times New Roman"/>
          <w:color w:val="auto"/>
          <w:lang w:eastAsia="pl-PL"/>
        </w:rPr>
        <w:t xml:space="preserve"> Gombrowicza. Realizacja przedmiotowej drogi dla pieszych wymaga jednak uzyskania odrębnej zgody zarządcy drogi i będzie przedmiotem odrębnego postępowania. </w:t>
      </w:r>
      <w:r w:rsidR="00035F48">
        <w:rPr>
          <w:rFonts w:eastAsia="Times New Roman"/>
          <w:color w:val="auto"/>
          <w:lang w:eastAsia="pl-PL"/>
        </w:rPr>
        <w:t>Zarządca drogi</w:t>
      </w:r>
      <w:r w:rsidRPr="00136EED">
        <w:rPr>
          <w:rFonts w:eastAsia="Times New Roman"/>
          <w:color w:val="auto"/>
          <w:lang w:eastAsia="pl-PL"/>
        </w:rPr>
        <w:t xml:space="preserve"> nie posia</w:t>
      </w:r>
      <w:r w:rsidR="00035F48">
        <w:rPr>
          <w:rFonts w:eastAsia="Times New Roman"/>
          <w:color w:val="auto"/>
          <w:lang w:eastAsia="pl-PL"/>
        </w:rPr>
        <w:t>da dokumentacji projektowej dla </w:t>
      </w:r>
      <w:r w:rsidRPr="00136EED">
        <w:rPr>
          <w:rFonts w:eastAsia="Times New Roman"/>
          <w:color w:val="auto"/>
          <w:lang w:eastAsia="pl-PL"/>
        </w:rPr>
        <w:t>wskazanego zadania, w tym projektu budowlanego ani dokumentacji wykonawczej, a także nie posiada opracowanego kosztorysu dotyczącego realizacji przedmiotowej drogi dla pieszych. Na chwilę obecną Miejski Zarząd</w:t>
      </w:r>
      <w:r w:rsidR="000366B2">
        <w:rPr>
          <w:rFonts w:eastAsia="Times New Roman"/>
          <w:color w:val="auto"/>
          <w:lang w:eastAsia="pl-PL"/>
        </w:rPr>
        <w:t xml:space="preserve"> Dróg i Mostów nie przewiduje w </w:t>
      </w:r>
      <w:r w:rsidRPr="00136EED">
        <w:rPr>
          <w:rFonts w:eastAsia="Times New Roman"/>
          <w:color w:val="auto"/>
          <w:lang w:eastAsia="pl-PL"/>
        </w:rPr>
        <w:t xml:space="preserve">swoich planach realizacji zadania polegającego na budowie </w:t>
      </w:r>
      <w:r w:rsidR="00035F48">
        <w:rPr>
          <w:rFonts w:eastAsia="Times New Roman"/>
          <w:color w:val="auto"/>
          <w:lang w:eastAsia="pl-PL"/>
        </w:rPr>
        <w:t>drogi dla pieszych w rejonie ulicy</w:t>
      </w:r>
      <w:r w:rsidRPr="00136EED">
        <w:rPr>
          <w:rFonts w:eastAsia="Times New Roman"/>
          <w:color w:val="auto"/>
          <w:lang w:eastAsia="pl-PL"/>
        </w:rPr>
        <w:t xml:space="preserve"> Tadeusza Kościuszki. Jednocześnie należy wskazać, ż</w:t>
      </w:r>
      <w:r w:rsidR="00035F48">
        <w:rPr>
          <w:rFonts w:eastAsia="Times New Roman"/>
          <w:color w:val="auto"/>
          <w:lang w:eastAsia="pl-PL"/>
        </w:rPr>
        <w:t>e </w:t>
      </w:r>
      <w:r w:rsidRPr="00136EED">
        <w:rPr>
          <w:rFonts w:eastAsia="Times New Roman"/>
          <w:color w:val="auto"/>
          <w:lang w:eastAsia="pl-PL"/>
        </w:rPr>
        <w:t>teren objęty planowaną inwestycją jest przeznaczony pod zabudowę usługową zgodnie z ustaleniami miejscowego planu zagospodarowania przestrzennego terenu położonego w rejonie u</w:t>
      </w:r>
      <w:r w:rsidR="000366B2">
        <w:rPr>
          <w:rFonts w:eastAsia="Times New Roman"/>
          <w:color w:val="auto"/>
          <w:lang w:eastAsia="pl-PL"/>
        </w:rPr>
        <w:t xml:space="preserve">lic: </w:t>
      </w:r>
      <w:proofErr w:type="spellStart"/>
      <w:r w:rsidR="000366B2">
        <w:rPr>
          <w:rFonts w:eastAsia="Times New Roman"/>
          <w:color w:val="auto"/>
          <w:lang w:eastAsia="pl-PL"/>
        </w:rPr>
        <w:t>Suchogórskiej</w:t>
      </w:r>
      <w:proofErr w:type="spellEnd"/>
      <w:r w:rsidR="000366B2">
        <w:rPr>
          <w:rFonts w:eastAsia="Times New Roman"/>
          <w:color w:val="auto"/>
          <w:lang w:eastAsia="pl-PL"/>
        </w:rPr>
        <w:t xml:space="preserve"> i Tęczowej w </w:t>
      </w:r>
      <w:r w:rsidRPr="00136EED">
        <w:rPr>
          <w:rFonts w:eastAsia="Times New Roman"/>
          <w:color w:val="auto"/>
          <w:lang w:eastAsia="pl-PL"/>
        </w:rPr>
        <w:t xml:space="preserve">Bytomiu – etap II – część południowa, uchwalonego uchwałą nr LIII/720/22 Rady Miejskiej w Bytomiu z dnia 24 stycznia 2022 r. </w:t>
      </w:r>
      <w:r w:rsidRPr="00035F48">
        <w:rPr>
          <w:rFonts w:eastAsia="Times New Roman"/>
          <w:color w:val="auto"/>
          <w:lang w:eastAsia="pl-PL"/>
        </w:rPr>
        <w:t>Miejscowy plan zagospodarowania przestrzennego został przyjęty przez Radę Miejską</w:t>
      </w:r>
      <w:r w:rsidR="000366B2">
        <w:rPr>
          <w:rFonts w:eastAsia="Times New Roman"/>
          <w:color w:val="auto"/>
          <w:lang w:eastAsia="pl-PL"/>
        </w:rPr>
        <w:t xml:space="preserve"> w </w:t>
      </w:r>
      <w:r w:rsidRPr="00035F48">
        <w:rPr>
          <w:rFonts w:eastAsia="Times New Roman"/>
          <w:color w:val="auto"/>
          <w:lang w:eastAsia="pl-PL"/>
        </w:rPr>
        <w:t>Bytomiu w ramach usta</w:t>
      </w:r>
      <w:r w:rsidR="00035F48">
        <w:rPr>
          <w:rFonts w:eastAsia="Times New Roman"/>
          <w:color w:val="auto"/>
          <w:lang w:eastAsia="pl-PL"/>
        </w:rPr>
        <w:t>wowej procedury planistycznej i </w:t>
      </w:r>
      <w:r w:rsidRPr="00035F48">
        <w:rPr>
          <w:rFonts w:eastAsia="Times New Roman"/>
          <w:color w:val="auto"/>
          <w:lang w:eastAsia="pl-PL"/>
        </w:rPr>
        <w:t>określa przeznaczenie oraz zasady zagospodarowania terenów objętych jego ustaleniami. W związku z powyższym możliwość realiza</w:t>
      </w:r>
      <w:r w:rsidR="00035F48">
        <w:rPr>
          <w:rFonts w:eastAsia="Times New Roman"/>
          <w:color w:val="auto"/>
          <w:lang w:eastAsia="pl-PL"/>
        </w:rPr>
        <w:t>cji na tym terenie inwestycji o </w:t>
      </w:r>
      <w:r w:rsidRPr="00035F48">
        <w:rPr>
          <w:rFonts w:eastAsia="Times New Roman"/>
          <w:color w:val="auto"/>
          <w:lang w:eastAsia="pl-PL"/>
        </w:rPr>
        <w:t>funkcji usługowej wynika z obowiązującego aktu prawa miejscowego. Rolą Miejskiego Zarządu Dróg i Mostów w postępowaniu dotyczącym lokalizacji zjazdu nie jest natomiast ocena zasadności przeznaczenia terenu określonego w miejscowym planie zagospodarowania przestrzennego, lecz ocena możliwości jego skomunikowania z drogą publiczną oraz określenie warunków, na jakich takie skomunikowanie może zostać zrealizowane. Wydając zezwolenie na lokalizację dodatkowego zjazdu z ul</w:t>
      </w:r>
      <w:r w:rsidR="00035F48">
        <w:rPr>
          <w:rFonts w:eastAsia="Times New Roman"/>
          <w:color w:val="auto"/>
          <w:lang w:eastAsia="pl-PL"/>
        </w:rPr>
        <w:t>icy</w:t>
      </w:r>
      <w:r w:rsidRPr="00035F48">
        <w:rPr>
          <w:rFonts w:eastAsia="Times New Roman"/>
          <w:color w:val="auto"/>
          <w:lang w:eastAsia="pl-PL"/>
        </w:rPr>
        <w:t xml:space="preserve"> Tadeusza Kościuszki, </w:t>
      </w:r>
      <w:r w:rsidR="00035F48">
        <w:rPr>
          <w:rFonts w:eastAsia="Times New Roman"/>
          <w:color w:val="auto"/>
          <w:lang w:eastAsia="pl-PL"/>
        </w:rPr>
        <w:t>zarządca drogi</w:t>
      </w:r>
      <w:r w:rsidRPr="00035F48">
        <w:rPr>
          <w:rFonts w:eastAsia="Times New Roman"/>
          <w:color w:val="auto"/>
          <w:lang w:eastAsia="pl-PL"/>
        </w:rPr>
        <w:t xml:space="preserve"> uwzględnił przyjęte rozwiązanie komunikacyjne, zgodnie z którym podstawowa obsługa dostaw oraz ruch pojazdów ciężarowych odbywać się będzie od strony ul</w:t>
      </w:r>
      <w:r w:rsidR="00035F48">
        <w:rPr>
          <w:rFonts w:eastAsia="Times New Roman"/>
          <w:color w:val="auto"/>
          <w:lang w:eastAsia="pl-PL"/>
        </w:rPr>
        <w:t>icy</w:t>
      </w:r>
      <w:r w:rsidRPr="00035F48">
        <w:rPr>
          <w:rFonts w:eastAsia="Times New Roman"/>
          <w:color w:val="auto"/>
          <w:lang w:eastAsia="pl-PL"/>
        </w:rPr>
        <w:t xml:space="preserve"> Gombrowicza, natomiast zjazd z ul</w:t>
      </w:r>
      <w:r w:rsidR="00035F48">
        <w:rPr>
          <w:rFonts w:eastAsia="Times New Roman"/>
          <w:color w:val="auto"/>
          <w:lang w:eastAsia="pl-PL"/>
        </w:rPr>
        <w:t>icy</w:t>
      </w:r>
      <w:r w:rsidRPr="00035F48">
        <w:rPr>
          <w:rFonts w:eastAsia="Times New Roman"/>
          <w:color w:val="auto"/>
          <w:lang w:eastAsia="pl-PL"/>
        </w:rPr>
        <w:t xml:space="preserve"> Tadeusza Kościuszki przeznaczony </w:t>
      </w:r>
      <w:r w:rsidR="00035F48">
        <w:rPr>
          <w:rFonts w:eastAsia="Times New Roman"/>
          <w:color w:val="auto"/>
          <w:lang w:eastAsia="pl-PL"/>
        </w:rPr>
        <w:t>będzie</w:t>
      </w:r>
      <w:r w:rsidRPr="00035F48">
        <w:rPr>
          <w:rFonts w:eastAsia="Times New Roman"/>
          <w:color w:val="auto"/>
          <w:lang w:eastAsia="pl-PL"/>
        </w:rPr>
        <w:t xml:space="preserve"> wyłą</w:t>
      </w:r>
      <w:r w:rsidR="00035F48">
        <w:rPr>
          <w:rFonts w:eastAsia="Times New Roman"/>
          <w:color w:val="auto"/>
          <w:lang w:eastAsia="pl-PL"/>
        </w:rPr>
        <w:t>cznie do </w:t>
      </w:r>
      <w:r w:rsidRPr="00035F48">
        <w:rPr>
          <w:rFonts w:eastAsia="Times New Roman"/>
          <w:color w:val="auto"/>
          <w:lang w:eastAsia="pl-PL"/>
        </w:rPr>
        <w:t xml:space="preserve">obsługi ruchu pojazdów osobowych. </w:t>
      </w:r>
    </w:p>
    <w:p w:rsidR="007960DD" w:rsidRDefault="00EA0397" w:rsidP="00DF2741">
      <w:pPr>
        <w:pStyle w:val="Default"/>
        <w:numPr>
          <w:ilvl w:val="0"/>
          <w:numId w:val="41"/>
        </w:numPr>
        <w:spacing w:after="160" w:line="276" w:lineRule="auto"/>
        <w:ind w:left="709" w:hanging="709"/>
        <w:jc w:val="both"/>
        <w:rPr>
          <w:rFonts w:eastAsia="Times New Roman"/>
          <w:color w:val="auto"/>
          <w:lang w:eastAsia="pl-PL"/>
        </w:rPr>
      </w:pPr>
      <w:r w:rsidRPr="00EA0397">
        <w:rPr>
          <w:rFonts w:eastAsia="Times New Roman"/>
          <w:color w:val="auto"/>
          <w:lang w:eastAsia="pl-PL"/>
        </w:rPr>
        <w:t>Dnia 27 kwietnia 20</w:t>
      </w:r>
      <w:r w:rsidR="00924027">
        <w:rPr>
          <w:rFonts w:eastAsia="Times New Roman"/>
          <w:color w:val="auto"/>
          <w:lang w:eastAsia="pl-PL"/>
        </w:rPr>
        <w:t>26 r. i</w:t>
      </w:r>
      <w:r w:rsidRPr="00EA0397">
        <w:rPr>
          <w:rFonts w:eastAsia="Times New Roman"/>
          <w:color w:val="auto"/>
          <w:lang w:eastAsia="pl-PL"/>
        </w:rPr>
        <w:t>nwestor – Dino Polska uzyskał decyzję nr 69/2026 zatwierdzającą projekt zagospodarowania tere</w:t>
      </w:r>
      <w:r w:rsidR="000366B2">
        <w:rPr>
          <w:rFonts w:eastAsia="Times New Roman"/>
          <w:color w:val="auto"/>
          <w:lang w:eastAsia="pl-PL"/>
        </w:rPr>
        <w:t xml:space="preserve">nu i projekt </w:t>
      </w:r>
      <w:proofErr w:type="spellStart"/>
      <w:r w:rsidR="000366B2">
        <w:rPr>
          <w:rFonts w:eastAsia="Times New Roman"/>
          <w:color w:val="auto"/>
          <w:lang w:eastAsia="pl-PL"/>
        </w:rPr>
        <w:t>architektoniczno</w:t>
      </w:r>
      <w:r w:rsidR="000366B2">
        <w:rPr>
          <w:rFonts w:eastAsia="Times New Roman"/>
          <w:color w:val="auto"/>
          <w:lang w:eastAsia="pl-PL"/>
        </w:rPr>
        <w:noBreakHyphen/>
      </w:r>
      <w:r w:rsidRPr="00EA0397">
        <w:rPr>
          <w:rFonts w:eastAsia="Times New Roman"/>
          <w:color w:val="auto"/>
          <w:lang w:eastAsia="pl-PL"/>
        </w:rPr>
        <w:t>budowlany</w:t>
      </w:r>
      <w:proofErr w:type="spellEnd"/>
      <w:r w:rsidRPr="00EA0397">
        <w:rPr>
          <w:rFonts w:eastAsia="Times New Roman"/>
          <w:color w:val="auto"/>
          <w:lang w:eastAsia="pl-PL"/>
        </w:rPr>
        <w:t xml:space="preserve"> i udzielającą pozwol</w:t>
      </w:r>
      <w:r w:rsidR="000366B2">
        <w:rPr>
          <w:rFonts w:eastAsia="Times New Roman"/>
          <w:color w:val="auto"/>
          <w:lang w:eastAsia="pl-PL"/>
        </w:rPr>
        <w:t xml:space="preserve">enia na budowę budynku </w:t>
      </w:r>
      <w:proofErr w:type="spellStart"/>
      <w:r w:rsidR="000366B2">
        <w:rPr>
          <w:rFonts w:eastAsia="Times New Roman"/>
          <w:color w:val="auto"/>
          <w:lang w:eastAsia="pl-PL"/>
        </w:rPr>
        <w:t>handlowo</w:t>
      </w:r>
      <w:r w:rsidR="000366B2">
        <w:rPr>
          <w:rFonts w:eastAsia="Times New Roman"/>
          <w:color w:val="auto"/>
          <w:lang w:eastAsia="pl-PL"/>
        </w:rPr>
        <w:noBreakHyphen/>
      </w:r>
      <w:r w:rsidRPr="00EA0397">
        <w:rPr>
          <w:rFonts w:eastAsia="Times New Roman"/>
          <w:color w:val="auto"/>
          <w:lang w:eastAsia="pl-PL"/>
        </w:rPr>
        <w:t>usługowego</w:t>
      </w:r>
      <w:proofErr w:type="spellEnd"/>
      <w:r w:rsidRPr="00EA0397">
        <w:rPr>
          <w:rFonts w:eastAsia="Times New Roman"/>
          <w:color w:val="auto"/>
          <w:lang w:eastAsia="pl-PL"/>
        </w:rPr>
        <w:t xml:space="preserve"> wraz z niezbędną infrastrukturą towarzyszącą, przez którą rozumie się: układ komunikacji wewnętrznej, miejsca parkingowe, zadaszenie, budowę zewnętrznych instalacji: wodociągowej na cele bytowe, wodociągowej na cele </w:t>
      </w:r>
      <w:proofErr w:type="spellStart"/>
      <w:r w:rsidRPr="00EA0397">
        <w:rPr>
          <w:rFonts w:eastAsia="Times New Roman"/>
          <w:color w:val="auto"/>
          <w:lang w:eastAsia="pl-PL"/>
        </w:rPr>
        <w:t>ppoż</w:t>
      </w:r>
      <w:proofErr w:type="spellEnd"/>
      <w:r w:rsidRPr="00EA0397">
        <w:rPr>
          <w:rFonts w:eastAsia="Times New Roman"/>
          <w:color w:val="auto"/>
          <w:lang w:eastAsia="pl-PL"/>
        </w:rPr>
        <w:t>, kanalizacji sanitarnej, kanalizacji deszczowej wraz podziemnym, szcze</w:t>
      </w:r>
      <w:r>
        <w:rPr>
          <w:rFonts w:eastAsia="Times New Roman"/>
          <w:color w:val="auto"/>
          <w:lang w:eastAsia="pl-PL"/>
        </w:rPr>
        <w:t>lnym zbiornikiem retencyjnym na </w:t>
      </w:r>
      <w:r w:rsidR="000366B2">
        <w:rPr>
          <w:rFonts w:eastAsia="Times New Roman"/>
          <w:color w:val="auto"/>
          <w:lang w:eastAsia="pl-PL"/>
        </w:rPr>
        <w:t>wody opadowe i </w:t>
      </w:r>
      <w:r w:rsidRPr="00EA0397">
        <w:rPr>
          <w:rFonts w:eastAsia="Times New Roman"/>
          <w:color w:val="auto"/>
          <w:lang w:eastAsia="pl-PL"/>
        </w:rPr>
        <w:t xml:space="preserve">roztopowe, bazującym na prefabrykacie w technologii betonowej, budowę instalacji oświetlenia zewnętrznego i wewnętrznej linii zasilającej, na  działkach </w:t>
      </w:r>
      <w:proofErr w:type="spellStart"/>
      <w:r w:rsidRPr="00EA0397">
        <w:rPr>
          <w:rFonts w:eastAsia="Times New Roman"/>
          <w:color w:val="auto"/>
          <w:lang w:eastAsia="pl-PL"/>
        </w:rPr>
        <w:t>ewid</w:t>
      </w:r>
      <w:proofErr w:type="spellEnd"/>
      <w:r w:rsidRPr="00EA0397">
        <w:rPr>
          <w:rFonts w:eastAsia="Times New Roman"/>
          <w:color w:val="auto"/>
          <w:lang w:eastAsia="pl-PL"/>
        </w:rPr>
        <w:t>. nr 823/3, 824/3 (</w:t>
      </w:r>
      <w:proofErr w:type="spellStart"/>
      <w:r w:rsidRPr="00EA0397">
        <w:rPr>
          <w:rFonts w:eastAsia="Times New Roman"/>
          <w:color w:val="auto"/>
          <w:lang w:eastAsia="pl-PL"/>
        </w:rPr>
        <w:t>k</w:t>
      </w:r>
      <w:r w:rsidR="00636820">
        <w:rPr>
          <w:rFonts w:eastAsia="Times New Roman"/>
          <w:color w:val="auto"/>
          <w:lang w:eastAsia="pl-PL"/>
        </w:rPr>
        <w:t>.m</w:t>
      </w:r>
      <w:proofErr w:type="spellEnd"/>
      <w:r w:rsidR="00636820">
        <w:rPr>
          <w:rFonts w:eastAsia="Times New Roman"/>
          <w:color w:val="auto"/>
          <w:lang w:eastAsia="pl-PL"/>
        </w:rPr>
        <w:t xml:space="preserve">. 3, obręb </w:t>
      </w:r>
      <w:proofErr w:type="spellStart"/>
      <w:r w:rsidR="00636820">
        <w:rPr>
          <w:rFonts w:eastAsia="Times New Roman"/>
          <w:color w:val="auto"/>
          <w:lang w:eastAsia="pl-PL"/>
        </w:rPr>
        <w:t>Stolarzowice</w:t>
      </w:r>
      <w:proofErr w:type="spellEnd"/>
      <w:r w:rsidR="00636820">
        <w:rPr>
          <w:rFonts w:eastAsia="Times New Roman"/>
          <w:color w:val="auto"/>
          <w:lang w:eastAsia="pl-PL"/>
        </w:rPr>
        <w:t>) przy </w:t>
      </w:r>
      <w:r w:rsidRPr="00EA0397">
        <w:rPr>
          <w:rFonts w:eastAsia="Times New Roman"/>
          <w:color w:val="auto"/>
          <w:lang w:eastAsia="pl-PL"/>
        </w:rPr>
        <w:t>ul</w:t>
      </w:r>
      <w:r>
        <w:rPr>
          <w:rFonts w:eastAsia="Times New Roman"/>
          <w:color w:val="auto"/>
          <w:lang w:eastAsia="pl-PL"/>
        </w:rPr>
        <w:t>icy</w:t>
      </w:r>
      <w:r w:rsidRPr="00EA0397">
        <w:rPr>
          <w:rFonts w:eastAsia="Times New Roman"/>
          <w:color w:val="auto"/>
          <w:lang w:eastAsia="pl-PL"/>
        </w:rPr>
        <w:t> Gombrowicza w Bytomiu</w:t>
      </w:r>
      <w:r w:rsidR="000366B2">
        <w:rPr>
          <w:rFonts w:eastAsia="Times New Roman"/>
          <w:color w:val="auto"/>
          <w:lang w:eastAsia="pl-PL"/>
        </w:rPr>
        <w:t xml:space="preserve"> </w:t>
      </w:r>
      <w:r w:rsidRPr="00EA0397">
        <w:rPr>
          <w:rFonts w:eastAsia="Times New Roman"/>
          <w:color w:val="auto"/>
          <w:lang w:eastAsia="pl-PL"/>
        </w:rPr>
        <w:t>(decyzja ta u</w:t>
      </w:r>
      <w:r w:rsidR="000366B2">
        <w:rPr>
          <w:rFonts w:eastAsia="Times New Roman"/>
          <w:color w:val="auto"/>
          <w:lang w:eastAsia="pl-PL"/>
        </w:rPr>
        <w:t>zyskała ostateczność z dniem 12 </w:t>
      </w:r>
      <w:r w:rsidRPr="00EA0397">
        <w:rPr>
          <w:rFonts w:eastAsia="Times New Roman"/>
          <w:color w:val="auto"/>
          <w:lang w:eastAsia="pl-PL"/>
        </w:rPr>
        <w:t>maja 2026r.).</w:t>
      </w:r>
    </w:p>
    <w:p w:rsidR="00EA0397" w:rsidRPr="00EA0397" w:rsidRDefault="00EA0397" w:rsidP="00DF2741">
      <w:pPr>
        <w:pStyle w:val="Default"/>
        <w:numPr>
          <w:ilvl w:val="0"/>
          <w:numId w:val="41"/>
        </w:numPr>
        <w:spacing w:after="160" w:line="276" w:lineRule="auto"/>
        <w:ind w:left="709" w:hanging="709"/>
        <w:jc w:val="both"/>
        <w:rPr>
          <w:rFonts w:eastAsia="Times New Roman"/>
          <w:color w:val="auto"/>
          <w:lang w:eastAsia="pl-PL"/>
        </w:rPr>
      </w:pPr>
      <w:r>
        <w:rPr>
          <w:rFonts w:eastAsia="Times New Roman"/>
          <w:color w:val="auto"/>
          <w:lang w:eastAsia="pl-PL"/>
        </w:rPr>
        <w:t>Z</w:t>
      </w:r>
      <w:r w:rsidRPr="00EA0397">
        <w:rPr>
          <w:rFonts w:eastAsia="Times New Roman"/>
          <w:color w:val="auto"/>
          <w:lang w:eastAsia="pl-PL"/>
        </w:rPr>
        <w:t xml:space="preserve">godnie z art. 20 ust.1 </w:t>
      </w:r>
      <w:proofErr w:type="spellStart"/>
      <w:r w:rsidRPr="00EA0397">
        <w:rPr>
          <w:rFonts w:eastAsia="Times New Roman"/>
          <w:color w:val="auto"/>
          <w:lang w:eastAsia="pl-PL"/>
        </w:rPr>
        <w:t>pkt</w:t>
      </w:r>
      <w:proofErr w:type="spellEnd"/>
      <w:r w:rsidRPr="00EA0397">
        <w:rPr>
          <w:rFonts w:eastAsia="Times New Roman"/>
          <w:color w:val="auto"/>
          <w:lang w:eastAsia="pl-PL"/>
        </w:rPr>
        <w:t xml:space="preserve"> 1 c (</w:t>
      </w:r>
      <w:proofErr w:type="spellStart"/>
      <w:r w:rsidRPr="00EA0397">
        <w:rPr>
          <w:rFonts w:eastAsia="Times New Roman"/>
          <w:color w:val="auto"/>
          <w:lang w:eastAsia="pl-PL"/>
        </w:rPr>
        <w:t>Dz.U</w:t>
      </w:r>
      <w:proofErr w:type="spellEnd"/>
      <w:r w:rsidRPr="00EA0397">
        <w:rPr>
          <w:rFonts w:eastAsia="Times New Roman"/>
          <w:color w:val="auto"/>
          <w:lang w:eastAsia="pl-PL"/>
        </w:rPr>
        <w:t xml:space="preserve">. 2026, poz. 524 ze </w:t>
      </w:r>
      <w:proofErr w:type="spellStart"/>
      <w:r w:rsidRPr="00EA0397">
        <w:rPr>
          <w:rFonts w:eastAsia="Times New Roman"/>
          <w:color w:val="auto"/>
          <w:lang w:eastAsia="pl-PL"/>
        </w:rPr>
        <w:t>zm</w:t>
      </w:r>
      <w:proofErr w:type="spellEnd"/>
      <w:r w:rsidRPr="00EA0397">
        <w:rPr>
          <w:rFonts w:eastAsia="Times New Roman"/>
          <w:color w:val="auto"/>
          <w:lang w:eastAsia="pl-PL"/>
        </w:rPr>
        <w:t>). ustawy wyznaczenie obszaru oddziaływania należy do podstawowych obowiązków projektanta i to na nim spoczywa obowiązek jego prawidłowego wyznaczenia.  Z kolei z  art. 28 ww. wynika, że  stronami w postępowaniu</w:t>
      </w:r>
      <w:r w:rsidR="00692B2D">
        <w:rPr>
          <w:rFonts w:eastAsia="Times New Roman"/>
          <w:color w:val="auto"/>
          <w:lang w:eastAsia="pl-PL"/>
        </w:rPr>
        <w:t>,</w:t>
      </w:r>
      <w:r w:rsidRPr="00EA0397">
        <w:rPr>
          <w:rFonts w:eastAsia="Times New Roman"/>
          <w:color w:val="auto"/>
          <w:lang w:eastAsia="pl-PL"/>
        </w:rPr>
        <w:t xml:space="preserve"> w sprawie pozwolenia na budowę są: inwestor oraz właściciele, użytkownicy wieczyści lub zarządcy n</w:t>
      </w:r>
      <w:r>
        <w:rPr>
          <w:rFonts w:eastAsia="Times New Roman"/>
          <w:color w:val="auto"/>
          <w:lang w:eastAsia="pl-PL"/>
        </w:rPr>
        <w:t>ieruchomości znajdujących się w obszarze oddziaływania obiektu</w:t>
      </w:r>
      <w:r w:rsidRPr="00EA0397">
        <w:rPr>
          <w:rFonts w:eastAsia="Times New Roman"/>
          <w:color w:val="auto"/>
          <w:lang w:eastAsia="pl-PL"/>
        </w:rPr>
        <w:t>, dlatego  też z uwagi na fakt, iż obszar oddziaływania projektowanego obiektu zamykał się w obrębie działek Inwestora, jedyną stroną postępowania był sam wnioskodawca.</w:t>
      </w:r>
      <w:r>
        <w:rPr>
          <w:rFonts w:eastAsia="Times New Roman"/>
          <w:color w:val="auto"/>
          <w:lang w:eastAsia="pl-PL"/>
        </w:rPr>
        <w:t xml:space="preserve"> </w:t>
      </w:r>
      <w:r w:rsidRPr="00EA0397">
        <w:rPr>
          <w:rFonts w:eastAsia="Times New Roman"/>
          <w:color w:val="auto"/>
          <w:lang w:eastAsia="pl-PL"/>
        </w:rPr>
        <w:t xml:space="preserve">Wyznaczony obszar oddziaływania został szczegółowo opisany przez projektanta  w projekcie zagospodarowania działki dołączonym do wniosku o pozwolenie na budowę, którego fragment </w:t>
      </w:r>
      <w:r>
        <w:rPr>
          <w:rFonts w:eastAsia="Times New Roman"/>
          <w:color w:val="auto"/>
          <w:lang w:eastAsia="pl-PL"/>
        </w:rPr>
        <w:t>załączam do odpowiedzi</w:t>
      </w:r>
      <w:r w:rsidRPr="00EA0397">
        <w:rPr>
          <w:rFonts w:eastAsia="Times New Roman"/>
          <w:color w:val="auto"/>
          <w:lang w:eastAsia="pl-PL"/>
        </w:rPr>
        <w:t xml:space="preserve">. </w:t>
      </w:r>
    </w:p>
    <w:p w:rsidR="007960DD" w:rsidRDefault="007960DD" w:rsidP="007960DD">
      <w:pPr>
        <w:spacing w:line="276" w:lineRule="auto"/>
        <w:ind w:right="-2"/>
        <w:jc w:val="both"/>
        <w:rPr>
          <w:rFonts w:ascii="Arial" w:hAnsi="Arial" w:cs="Arial"/>
        </w:rPr>
      </w:pPr>
    </w:p>
    <w:p w:rsidR="00DF2741" w:rsidRPr="00EE05CE" w:rsidRDefault="00DF2741" w:rsidP="007960DD">
      <w:pPr>
        <w:spacing w:line="276" w:lineRule="auto"/>
        <w:ind w:right="-2"/>
        <w:jc w:val="both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A73112" w:rsidRDefault="00A73112" w:rsidP="004A1D88">
      <w:pPr>
        <w:rPr>
          <w:rFonts w:ascii="Arial" w:hAnsi="Arial" w:cs="Arial"/>
          <w:sz w:val="16"/>
          <w:szCs w:val="16"/>
        </w:rPr>
      </w:pPr>
    </w:p>
    <w:p w:rsidR="00A73112" w:rsidRDefault="00A73112" w:rsidP="004A1D88">
      <w:pPr>
        <w:rPr>
          <w:rFonts w:ascii="Arial" w:hAnsi="Arial" w:cs="Arial"/>
          <w:sz w:val="16"/>
          <w:szCs w:val="16"/>
        </w:rPr>
      </w:pPr>
    </w:p>
    <w:p w:rsidR="00A73112" w:rsidRDefault="00A73112" w:rsidP="004A1D88">
      <w:pPr>
        <w:rPr>
          <w:rFonts w:ascii="Arial" w:hAnsi="Arial" w:cs="Arial"/>
          <w:sz w:val="16"/>
          <w:szCs w:val="16"/>
        </w:rPr>
      </w:pPr>
    </w:p>
    <w:p w:rsidR="00A73112" w:rsidRDefault="00A73112" w:rsidP="004A1D88">
      <w:pPr>
        <w:rPr>
          <w:rFonts w:ascii="Arial" w:hAnsi="Arial" w:cs="Arial"/>
          <w:sz w:val="16"/>
          <w:szCs w:val="16"/>
        </w:rPr>
      </w:pPr>
    </w:p>
    <w:p w:rsidR="00A73112" w:rsidRDefault="00A73112" w:rsidP="004A1D88">
      <w:pPr>
        <w:rPr>
          <w:rFonts w:ascii="Arial" w:hAnsi="Arial" w:cs="Arial"/>
          <w:sz w:val="16"/>
          <w:szCs w:val="16"/>
        </w:rPr>
      </w:pPr>
    </w:p>
    <w:p w:rsidR="00DF2741" w:rsidRDefault="00DF2741" w:rsidP="004A1D88">
      <w:pPr>
        <w:rPr>
          <w:rFonts w:ascii="Arial" w:hAnsi="Arial" w:cs="Arial"/>
          <w:sz w:val="16"/>
          <w:szCs w:val="16"/>
        </w:rPr>
      </w:pPr>
    </w:p>
    <w:p w:rsidR="00DF2741" w:rsidRDefault="00DF2741" w:rsidP="004A1D88">
      <w:pPr>
        <w:rPr>
          <w:rFonts w:ascii="Arial" w:hAnsi="Arial" w:cs="Arial"/>
          <w:sz w:val="16"/>
          <w:szCs w:val="16"/>
        </w:rPr>
      </w:pPr>
    </w:p>
    <w:p w:rsidR="00DF2741" w:rsidRDefault="00DF2741" w:rsidP="004A1D88">
      <w:pPr>
        <w:rPr>
          <w:rFonts w:ascii="Arial" w:hAnsi="Arial" w:cs="Arial"/>
          <w:sz w:val="16"/>
          <w:szCs w:val="16"/>
        </w:rPr>
      </w:pPr>
    </w:p>
    <w:p w:rsidR="00DF2741" w:rsidRDefault="00DF2741" w:rsidP="004A1D88">
      <w:pPr>
        <w:rPr>
          <w:rFonts w:ascii="Arial" w:hAnsi="Arial" w:cs="Arial"/>
          <w:sz w:val="16"/>
          <w:szCs w:val="16"/>
        </w:rPr>
      </w:pPr>
    </w:p>
    <w:p w:rsidR="00DF2741" w:rsidRDefault="00DF2741" w:rsidP="004A1D88">
      <w:pPr>
        <w:rPr>
          <w:rFonts w:ascii="Arial" w:hAnsi="Arial" w:cs="Arial"/>
          <w:sz w:val="16"/>
          <w:szCs w:val="16"/>
        </w:rPr>
      </w:pPr>
    </w:p>
    <w:p w:rsidR="00DF2741" w:rsidRDefault="00DF2741" w:rsidP="004A1D88">
      <w:pPr>
        <w:rPr>
          <w:rFonts w:ascii="Arial" w:hAnsi="Arial" w:cs="Arial"/>
          <w:sz w:val="16"/>
          <w:szCs w:val="16"/>
        </w:rPr>
      </w:pPr>
    </w:p>
    <w:p w:rsidR="00DF2741" w:rsidRDefault="00DF2741" w:rsidP="004A1D88">
      <w:pPr>
        <w:rPr>
          <w:rFonts w:ascii="Arial" w:hAnsi="Arial" w:cs="Arial"/>
          <w:sz w:val="16"/>
          <w:szCs w:val="16"/>
        </w:rPr>
      </w:pPr>
    </w:p>
    <w:p w:rsidR="00EA2C12" w:rsidRDefault="00824DAF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Załącznik 8 szt.</w:t>
      </w:r>
    </w:p>
    <w:p w:rsidR="00824DAF" w:rsidRPr="00824DAF" w:rsidRDefault="00824DAF" w:rsidP="00824DAF">
      <w:pPr>
        <w:pStyle w:val="Akapitzlist"/>
        <w:numPr>
          <w:ilvl w:val="0"/>
          <w:numId w:val="42"/>
        </w:numPr>
        <w:rPr>
          <w:rFonts w:ascii="Arial" w:hAnsi="Arial" w:cs="Arial"/>
          <w:sz w:val="16"/>
          <w:szCs w:val="16"/>
        </w:rPr>
      </w:pPr>
      <w:r w:rsidRPr="00824DAF">
        <w:rPr>
          <w:rFonts w:ascii="Arial" w:hAnsi="Arial" w:cs="Arial"/>
          <w:sz w:val="16"/>
          <w:szCs w:val="16"/>
        </w:rPr>
        <w:t>Wniosek o wydanie zgody na lokalizację zjazdu</w:t>
      </w:r>
    </w:p>
    <w:p w:rsidR="00824DAF" w:rsidRPr="00824DAF" w:rsidRDefault="00824DAF" w:rsidP="00824DAF">
      <w:pPr>
        <w:pStyle w:val="Akapitzlist"/>
        <w:numPr>
          <w:ilvl w:val="0"/>
          <w:numId w:val="42"/>
        </w:numPr>
        <w:rPr>
          <w:rFonts w:ascii="Arial" w:hAnsi="Arial" w:cs="Arial"/>
          <w:sz w:val="16"/>
          <w:szCs w:val="16"/>
        </w:rPr>
      </w:pPr>
      <w:r w:rsidRPr="00824DAF">
        <w:rPr>
          <w:rFonts w:ascii="Arial" w:hAnsi="Arial" w:cs="Arial"/>
          <w:sz w:val="16"/>
          <w:szCs w:val="16"/>
        </w:rPr>
        <w:t>Akt Notarialny</w:t>
      </w:r>
    </w:p>
    <w:p w:rsidR="00824DAF" w:rsidRPr="00824DAF" w:rsidRDefault="00824DAF" w:rsidP="00824DAF">
      <w:pPr>
        <w:pStyle w:val="Akapitzlist"/>
        <w:numPr>
          <w:ilvl w:val="0"/>
          <w:numId w:val="42"/>
        </w:numPr>
        <w:rPr>
          <w:rFonts w:ascii="Arial" w:hAnsi="Arial" w:cs="Arial"/>
          <w:sz w:val="16"/>
          <w:szCs w:val="16"/>
        </w:rPr>
      </w:pPr>
      <w:r w:rsidRPr="00824DAF">
        <w:rPr>
          <w:rFonts w:ascii="Arial" w:hAnsi="Arial" w:cs="Arial"/>
          <w:sz w:val="16"/>
          <w:szCs w:val="16"/>
        </w:rPr>
        <w:t>Pełnomocnictwo</w:t>
      </w:r>
    </w:p>
    <w:p w:rsidR="00824DAF" w:rsidRPr="00824DAF" w:rsidRDefault="00824DAF" w:rsidP="00824DAF">
      <w:pPr>
        <w:pStyle w:val="Akapitzlist"/>
        <w:numPr>
          <w:ilvl w:val="0"/>
          <w:numId w:val="42"/>
        </w:numPr>
        <w:rPr>
          <w:rFonts w:ascii="Arial" w:hAnsi="Arial" w:cs="Arial"/>
          <w:sz w:val="16"/>
          <w:szCs w:val="16"/>
        </w:rPr>
      </w:pPr>
      <w:r w:rsidRPr="00824DAF">
        <w:rPr>
          <w:rFonts w:ascii="Arial" w:hAnsi="Arial" w:cs="Arial"/>
          <w:sz w:val="16"/>
          <w:szCs w:val="16"/>
        </w:rPr>
        <w:t>Zgoda na dysponowanie działką</w:t>
      </w:r>
    </w:p>
    <w:p w:rsidR="00824DAF" w:rsidRPr="00824DAF" w:rsidRDefault="00824DAF" w:rsidP="00824DAF">
      <w:pPr>
        <w:pStyle w:val="Akapitzlist"/>
        <w:numPr>
          <w:ilvl w:val="0"/>
          <w:numId w:val="42"/>
        </w:numPr>
        <w:rPr>
          <w:rFonts w:ascii="Arial" w:hAnsi="Arial" w:cs="Arial"/>
          <w:sz w:val="16"/>
          <w:szCs w:val="16"/>
        </w:rPr>
      </w:pPr>
      <w:r w:rsidRPr="00824DAF">
        <w:rPr>
          <w:rFonts w:ascii="Arial" w:hAnsi="Arial" w:cs="Arial"/>
          <w:sz w:val="16"/>
          <w:szCs w:val="16"/>
        </w:rPr>
        <w:t xml:space="preserve">Wypis i </w:t>
      </w:r>
      <w:r w:rsidR="000E64E7">
        <w:rPr>
          <w:rFonts w:ascii="Arial" w:hAnsi="Arial" w:cs="Arial"/>
          <w:sz w:val="16"/>
          <w:szCs w:val="16"/>
        </w:rPr>
        <w:t>wyrys z MPZP</w:t>
      </w:r>
    </w:p>
    <w:p w:rsidR="00824DAF" w:rsidRPr="00824DAF" w:rsidRDefault="00824DAF" w:rsidP="00824DAF">
      <w:pPr>
        <w:pStyle w:val="Akapitzlist"/>
        <w:numPr>
          <w:ilvl w:val="0"/>
          <w:numId w:val="42"/>
        </w:numPr>
        <w:rPr>
          <w:rFonts w:ascii="Arial" w:hAnsi="Arial" w:cs="Arial"/>
          <w:sz w:val="16"/>
          <w:szCs w:val="16"/>
        </w:rPr>
      </w:pPr>
      <w:r w:rsidRPr="00824DAF">
        <w:rPr>
          <w:rFonts w:ascii="Arial" w:hAnsi="Arial" w:cs="Arial"/>
          <w:sz w:val="16"/>
          <w:szCs w:val="16"/>
        </w:rPr>
        <w:t xml:space="preserve">Mapka graficzna </w:t>
      </w:r>
    </w:p>
    <w:p w:rsidR="00824DAF" w:rsidRPr="00824DAF" w:rsidRDefault="00824DAF" w:rsidP="00824DAF">
      <w:pPr>
        <w:pStyle w:val="Akapitzlist"/>
        <w:numPr>
          <w:ilvl w:val="0"/>
          <w:numId w:val="42"/>
        </w:numPr>
        <w:rPr>
          <w:rFonts w:ascii="Arial" w:hAnsi="Arial" w:cs="Arial"/>
          <w:sz w:val="16"/>
          <w:szCs w:val="16"/>
        </w:rPr>
      </w:pPr>
      <w:r w:rsidRPr="00824DAF">
        <w:rPr>
          <w:rFonts w:ascii="Arial" w:hAnsi="Arial" w:cs="Arial"/>
          <w:sz w:val="16"/>
          <w:szCs w:val="16"/>
        </w:rPr>
        <w:t>Decyzja zezwalająca na lokalizację zjazdu</w:t>
      </w:r>
    </w:p>
    <w:p w:rsidR="00692B2D" w:rsidRPr="00824DAF" w:rsidRDefault="00824DAF" w:rsidP="00824DAF">
      <w:pPr>
        <w:pStyle w:val="Akapitzlist"/>
        <w:numPr>
          <w:ilvl w:val="0"/>
          <w:numId w:val="42"/>
        </w:numPr>
        <w:rPr>
          <w:rFonts w:ascii="Arial" w:hAnsi="Arial" w:cs="Arial"/>
          <w:sz w:val="16"/>
          <w:szCs w:val="16"/>
        </w:rPr>
      </w:pPr>
      <w:r w:rsidRPr="00824DAF">
        <w:rPr>
          <w:rFonts w:ascii="Arial" w:hAnsi="Arial" w:cs="Arial"/>
          <w:sz w:val="16"/>
          <w:szCs w:val="16"/>
        </w:rPr>
        <w:t>Projekt zagospodarowania terenu</w:t>
      </w:r>
    </w:p>
    <w:p w:rsidR="00824DAF" w:rsidRDefault="00824DAF" w:rsidP="004A1D88">
      <w:pPr>
        <w:rPr>
          <w:rFonts w:ascii="Arial" w:hAnsi="Arial" w:cs="Arial"/>
          <w:sz w:val="16"/>
          <w:szCs w:val="16"/>
        </w:rPr>
      </w:pPr>
    </w:p>
    <w:p w:rsidR="00143C1A" w:rsidRPr="00143C1A" w:rsidRDefault="00143C1A" w:rsidP="004A1D88">
      <w:pPr>
        <w:rPr>
          <w:rFonts w:ascii="Arial" w:hAnsi="Arial" w:cs="Arial"/>
          <w:sz w:val="16"/>
          <w:szCs w:val="16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8A080A" w:rsidRDefault="008A080A" w:rsidP="00492139">
      <w:pPr>
        <w:rPr>
          <w:rFonts w:ascii="Arial" w:hAnsi="Arial" w:cs="Arial"/>
          <w:sz w:val="16"/>
          <w:szCs w:val="16"/>
        </w:rPr>
      </w:pPr>
    </w:p>
    <w:p w:rsidR="008A080A" w:rsidRDefault="008A080A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F614AB" w:rsidRDefault="00F614AB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Wydział Architektury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A73112" w:rsidRDefault="00A73112" w:rsidP="00492139">
      <w:pPr>
        <w:rPr>
          <w:rFonts w:ascii="Arial" w:hAnsi="Arial" w:cs="Arial"/>
          <w:sz w:val="16"/>
          <w:szCs w:val="16"/>
        </w:rPr>
      </w:pPr>
    </w:p>
    <w:p w:rsidR="00A73112" w:rsidRDefault="00A73112" w:rsidP="00492139">
      <w:pPr>
        <w:rPr>
          <w:rFonts w:ascii="Arial" w:hAnsi="Arial" w:cs="Arial"/>
          <w:sz w:val="16"/>
          <w:szCs w:val="16"/>
        </w:rPr>
      </w:pPr>
    </w:p>
    <w:p w:rsidR="00DF2741" w:rsidRDefault="00DF2741" w:rsidP="00492139">
      <w:pPr>
        <w:rPr>
          <w:rFonts w:ascii="Arial" w:hAnsi="Arial" w:cs="Arial"/>
          <w:sz w:val="16"/>
          <w:szCs w:val="16"/>
        </w:rPr>
      </w:pPr>
    </w:p>
    <w:p w:rsidR="00492139" w:rsidRPr="00912B32" w:rsidRDefault="00492139" w:rsidP="00492139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proofErr w:type="spellStart"/>
      <w:r w:rsidRPr="00912B32">
        <w:rPr>
          <w:rFonts w:ascii="Arial" w:hAnsi="Arial" w:cs="Arial"/>
          <w:sz w:val="16"/>
          <w:szCs w:val="16"/>
        </w:rPr>
        <w:t>W.Dolata</w:t>
      </w:r>
      <w:proofErr w:type="spellEnd"/>
    </w:p>
    <w:p w:rsidR="001F4D37" w:rsidRPr="00912B32" w:rsidRDefault="00492139" w:rsidP="001F4D37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</w:t>
      </w:r>
      <w:r w:rsidR="000577AC" w:rsidRPr="00912B32">
        <w:rPr>
          <w:rFonts w:ascii="Arial" w:hAnsi="Arial" w:cs="Arial"/>
          <w:sz w:val="16"/>
          <w:szCs w:val="16"/>
        </w:rPr>
        <w:t>6</w:t>
      </w:r>
      <w:r w:rsidRPr="00912B32">
        <w:rPr>
          <w:rFonts w:ascii="Arial" w:hAnsi="Arial" w:cs="Arial"/>
          <w:sz w:val="16"/>
          <w:szCs w:val="16"/>
        </w:rPr>
        <w:t>-</w:t>
      </w:r>
      <w:r w:rsidR="000577AC" w:rsidRPr="00912B32">
        <w:rPr>
          <w:rFonts w:ascii="Arial" w:hAnsi="Arial" w:cs="Arial"/>
          <w:sz w:val="16"/>
          <w:szCs w:val="16"/>
        </w:rPr>
        <w:t>0</w:t>
      </w:r>
      <w:r w:rsidR="00F85479">
        <w:rPr>
          <w:rFonts w:ascii="Arial" w:hAnsi="Arial" w:cs="Arial"/>
          <w:sz w:val="16"/>
          <w:szCs w:val="16"/>
        </w:rPr>
        <w:t>8</w:t>
      </w:r>
      <w:r w:rsidRPr="00912B32">
        <w:rPr>
          <w:rFonts w:ascii="Arial" w:hAnsi="Arial" w:cs="Arial"/>
          <w:sz w:val="16"/>
          <w:szCs w:val="16"/>
        </w:rPr>
        <w:t>-</w:t>
      </w:r>
      <w:r w:rsidR="00EA0397">
        <w:rPr>
          <w:rFonts w:ascii="Arial" w:hAnsi="Arial" w:cs="Arial"/>
          <w:sz w:val="16"/>
          <w:szCs w:val="16"/>
        </w:rPr>
        <w:t>2</w:t>
      </w:r>
      <w:r w:rsidR="006E0A28">
        <w:rPr>
          <w:rFonts w:ascii="Arial" w:hAnsi="Arial" w:cs="Arial"/>
          <w:sz w:val="16"/>
          <w:szCs w:val="16"/>
        </w:rPr>
        <w:t>6</w:t>
      </w:r>
    </w:p>
    <w:sectPr w:rsidR="001F4D37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554" w:rsidRDefault="00F97554" w:rsidP="0085517A">
      <w:r>
        <w:separator/>
      </w:r>
    </w:p>
  </w:endnote>
  <w:endnote w:type="continuationSeparator" w:id="0">
    <w:p w:rsidR="00F97554" w:rsidRDefault="00F97554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F97554" w:rsidRPr="003A6CA9" w:rsidRDefault="00F97554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E47167">
          <w:rPr>
            <w:rFonts w:ascii="Arial" w:hAnsi="Arial" w:cs="Arial"/>
            <w:noProof/>
            <w:sz w:val="20"/>
          </w:rPr>
          <w:t>5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F97554" w:rsidRDefault="00F9755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554" w:rsidRPr="00114937" w:rsidRDefault="00F97554" w:rsidP="00F21574">
    <w:pPr>
      <w:rPr>
        <w:rFonts w:ascii="Arial" w:hAnsi="Arial" w:cs="Arial"/>
        <w:bCs/>
        <w:sz w:val="16"/>
        <w:szCs w:val="16"/>
      </w:rPr>
    </w:pPr>
  </w:p>
  <w:p w:rsidR="00F97554" w:rsidRDefault="00F9755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554" w:rsidRDefault="00F97554" w:rsidP="0085517A">
      <w:r>
        <w:separator/>
      </w:r>
    </w:p>
  </w:footnote>
  <w:footnote w:type="continuationSeparator" w:id="0">
    <w:p w:rsidR="00F97554" w:rsidRDefault="00F97554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3943D63"/>
    <w:multiLevelType w:val="hybridMultilevel"/>
    <w:tmpl w:val="AF8C38F0"/>
    <w:lvl w:ilvl="0" w:tplc="DB1435E8">
      <w:start w:val="1"/>
      <w:numFmt w:val="decimal"/>
      <w:lvlText w:val="ad %1."/>
      <w:lvlJc w:val="left"/>
      <w:pPr>
        <w:ind w:left="9433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153" w:hanging="360"/>
      </w:pPr>
    </w:lvl>
    <w:lvl w:ilvl="2" w:tplc="0415001B" w:tentative="1">
      <w:start w:val="1"/>
      <w:numFmt w:val="lowerRoman"/>
      <w:lvlText w:val="%3."/>
      <w:lvlJc w:val="right"/>
      <w:pPr>
        <w:ind w:left="10873" w:hanging="180"/>
      </w:pPr>
    </w:lvl>
    <w:lvl w:ilvl="3" w:tplc="0415000F" w:tentative="1">
      <w:start w:val="1"/>
      <w:numFmt w:val="decimal"/>
      <w:lvlText w:val="%4."/>
      <w:lvlJc w:val="left"/>
      <w:pPr>
        <w:ind w:left="11593" w:hanging="360"/>
      </w:pPr>
    </w:lvl>
    <w:lvl w:ilvl="4" w:tplc="04150019" w:tentative="1">
      <w:start w:val="1"/>
      <w:numFmt w:val="lowerLetter"/>
      <w:lvlText w:val="%5."/>
      <w:lvlJc w:val="left"/>
      <w:pPr>
        <w:ind w:left="12313" w:hanging="360"/>
      </w:pPr>
    </w:lvl>
    <w:lvl w:ilvl="5" w:tplc="0415001B" w:tentative="1">
      <w:start w:val="1"/>
      <w:numFmt w:val="lowerRoman"/>
      <w:lvlText w:val="%6."/>
      <w:lvlJc w:val="right"/>
      <w:pPr>
        <w:ind w:left="13033" w:hanging="180"/>
      </w:pPr>
    </w:lvl>
    <w:lvl w:ilvl="6" w:tplc="0415000F" w:tentative="1">
      <w:start w:val="1"/>
      <w:numFmt w:val="decimal"/>
      <w:lvlText w:val="%7."/>
      <w:lvlJc w:val="left"/>
      <w:pPr>
        <w:ind w:left="13753" w:hanging="360"/>
      </w:pPr>
    </w:lvl>
    <w:lvl w:ilvl="7" w:tplc="04150019" w:tentative="1">
      <w:start w:val="1"/>
      <w:numFmt w:val="lowerLetter"/>
      <w:lvlText w:val="%8."/>
      <w:lvlJc w:val="left"/>
      <w:pPr>
        <w:ind w:left="14473" w:hanging="360"/>
      </w:pPr>
    </w:lvl>
    <w:lvl w:ilvl="8" w:tplc="0415001B" w:tentative="1">
      <w:start w:val="1"/>
      <w:numFmt w:val="lowerRoman"/>
      <w:lvlText w:val="%9."/>
      <w:lvlJc w:val="right"/>
      <w:pPr>
        <w:ind w:left="15193" w:hanging="180"/>
      </w:pPr>
    </w:lvl>
  </w:abstractNum>
  <w:abstractNum w:abstractNumId="5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5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8E4890"/>
    <w:multiLevelType w:val="hybridMultilevel"/>
    <w:tmpl w:val="07AA69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3F4EA1"/>
    <w:multiLevelType w:val="hybridMultilevel"/>
    <w:tmpl w:val="66C6187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29"/>
  </w:num>
  <w:num w:numId="3">
    <w:abstractNumId w:val="9"/>
  </w:num>
  <w:num w:numId="4">
    <w:abstractNumId w:val="0"/>
  </w:num>
  <w:num w:numId="5">
    <w:abstractNumId w:val="20"/>
  </w:num>
  <w:num w:numId="6">
    <w:abstractNumId w:val="18"/>
  </w:num>
  <w:num w:numId="7">
    <w:abstractNumId w:val="37"/>
  </w:num>
  <w:num w:numId="8">
    <w:abstractNumId w:val="13"/>
  </w:num>
  <w:num w:numId="9">
    <w:abstractNumId w:val="39"/>
  </w:num>
  <w:num w:numId="10">
    <w:abstractNumId w:val="7"/>
  </w:num>
  <w:num w:numId="11">
    <w:abstractNumId w:val="25"/>
  </w:num>
  <w:num w:numId="12">
    <w:abstractNumId w:val="21"/>
  </w:num>
  <w:num w:numId="13">
    <w:abstractNumId w:val="6"/>
  </w:num>
  <w:num w:numId="14">
    <w:abstractNumId w:val="19"/>
  </w:num>
  <w:num w:numId="15">
    <w:abstractNumId w:val="32"/>
  </w:num>
  <w:num w:numId="16">
    <w:abstractNumId w:val="16"/>
  </w:num>
  <w:num w:numId="17">
    <w:abstractNumId w:val="33"/>
  </w:num>
  <w:num w:numId="18">
    <w:abstractNumId w:val="28"/>
  </w:num>
  <w:num w:numId="19">
    <w:abstractNumId w:val="30"/>
  </w:num>
  <w:num w:numId="20">
    <w:abstractNumId w:val="38"/>
  </w:num>
  <w:num w:numId="21">
    <w:abstractNumId w:val="23"/>
  </w:num>
  <w:num w:numId="22">
    <w:abstractNumId w:val="27"/>
  </w:num>
  <w:num w:numId="23">
    <w:abstractNumId w:val="17"/>
  </w:num>
  <w:num w:numId="24">
    <w:abstractNumId w:val="1"/>
  </w:num>
  <w:num w:numId="25">
    <w:abstractNumId w:val="15"/>
  </w:num>
  <w:num w:numId="26">
    <w:abstractNumId w:val="14"/>
  </w:num>
  <w:num w:numId="27">
    <w:abstractNumId w:val="41"/>
  </w:num>
  <w:num w:numId="28">
    <w:abstractNumId w:val="34"/>
  </w:num>
  <w:num w:numId="29">
    <w:abstractNumId w:val="5"/>
  </w:num>
  <w:num w:numId="30">
    <w:abstractNumId w:val="22"/>
  </w:num>
  <w:num w:numId="31">
    <w:abstractNumId w:val="12"/>
  </w:num>
  <w:num w:numId="32">
    <w:abstractNumId w:val="26"/>
  </w:num>
  <w:num w:numId="33">
    <w:abstractNumId w:val="2"/>
  </w:num>
  <w:num w:numId="34">
    <w:abstractNumId w:val="24"/>
  </w:num>
  <w:num w:numId="35">
    <w:abstractNumId w:val="11"/>
  </w:num>
  <w:num w:numId="36">
    <w:abstractNumId w:val="10"/>
  </w:num>
  <w:num w:numId="37">
    <w:abstractNumId w:val="3"/>
  </w:num>
  <w:num w:numId="38">
    <w:abstractNumId w:val="36"/>
  </w:num>
  <w:num w:numId="39">
    <w:abstractNumId w:val="8"/>
  </w:num>
  <w:num w:numId="40">
    <w:abstractNumId w:val="35"/>
  </w:num>
  <w:num w:numId="41">
    <w:abstractNumId w:val="4"/>
  </w:num>
  <w:num w:numId="42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38273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5F48"/>
    <w:rsid w:val="000366B2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97187"/>
    <w:rsid w:val="000A24F7"/>
    <w:rsid w:val="000A2D6F"/>
    <w:rsid w:val="000C2B3B"/>
    <w:rsid w:val="000D12A0"/>
    <w:rsid w:val="000D18DA"/>
    <w:rsid w:val="000D3080"/>
    <w:rsid w:val="000D3B0E"/>
    <w:rsid w:val="000E20A3"/>
    <w:rsid w:val="000E64E7"/>
    <w:rsid w:val="000F01C4"/>
    <w:rsid w:val="000F088D"/>
    <w:rsid w:val="000F0E10"/>
    <w:rsid w:val="000F309D"/>
    <w:rsid w:val="000F4767"/>
    <w:rsid w:val="00100DAB"/>
    <w:rsid w:val="0011152F"/>
    <w:rsid w:val="001137AA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36EED"/>
    <w:rsid w:val="0014233A"/>
    <w:rsid w:val="0014337E"/>
    <w:rsid w:val="00143C1A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270A"/>
    <w:rsid w:val="001F4D37"/>
    <w:rsid w:val="001F51C7"/>
    <w:rsid w:val="00202188"/>
    <w:rsid w:val="0020320E"/>
    <w:rsid w:val="00211679"/>
    <w:rsid w:val="002175AD"/>
    <w:rsid w:val="0022062E"/>
    <w:rsid w:val="002212EE"/>
    <w:rsid w:val="00222F8E"/>
    <w:rsid w:val="00226C94"/>
    <w:rsid w:val="00227EDE"/>
    <w:rsid w:val="00235F75"/>
    <w:rsid w:val="002427F7"/>
    <w:rsid w:val="002459AD"/>
    <w:rsid w:val="00246FAF"/>
    <w:rsid w:val="002548C3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5A9C"/>
    <w:rsid w:val="002D78DB"/>
    <w:rsid w:val="002E07F2"/>
    <w:rsid w:val="002E20D8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B2A82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3D36"/>
    <w:rsid w:val="00416A33"/>
    <w:rsid w:val="00420642"/>
    <w:rsid w:val="004226B6"/>
    <w:rsid w:val="00425F2A"/>
    <w:rsid w:val="00426D4E"/>
    <w:rsid w:val="00426F7E"/>
    <w:rsid w:val="00427166"/>
    <w:rsid w:val="00431088"/>
    <w:rsid w:val="004327A3"/>
    <w:rsid w:val="004337E6"/>
    <w:rsid w:val="00435816"/>
    <w:rsid w:val="00435841"/>
    <w:rsid w:val="004430C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701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42ED"/>
    <w:rsid w:val="00577604"/>
    <w:rsid w:val="0058039F"/>
    <w:rsid w:val="005862FA"/>
    <w:rsid w:val="0059005A"/>
    <w:rsid w:val="005905CD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820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B2D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E0A28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24375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960DD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4DAF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779BD"/>
    <w:rsid w:val="00880ABE"/>
    <w:rsid w:val="0088613D"/>
    <w:rsid w:val="00893399"/>
    <w:rsid w:val="008A080A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4027"/>
    <w:rsid w:val="009268A5"/>
    <w:rsid w:val="00931A71"/>
    <w:rsid w:val="00933FC2"/>
    <w:rsid w:val="009360C5"/>
    <w:rsid w:val="00940A90"/>
    <w:rsid w:val="009419E0"/>
    <w:rsid w:val="00942339"/>
    <w:rsid w:val="00943CA8"/>
    <w:rsid w:val="00944181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093C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31044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3112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926"/>
    <w:rsid w:val="00AB2EFF"/>
    <w:rsid w:val="00AC183F"/>
    <w:rsid w:val="00AC3235"/>
    <w:rsid w:val="00AC3921"/>
    <w:rsid w:val="00AC5897"/>
    <w:rsid w:val="00AC62A3"/>
    <w:rsid w:val="00AD14C5"/>
    <w:rsid w:val="00AD6BE3"/>
    <w:rsid w:val="00AE0219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019B"/>
    <w:rsid w:val="00C03C6B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2987"/>
    <w:rsid w:val="00DE4244"/>
    <w:rsid w:val="00DE4F02"/>
    <w:rsid w:val="00DE57A5"/>
    <w:rsid w:val="00DF16F3"/>
    <w:rsid w:val="00DF2741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47167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397"/>
    <w:rsid w:val="00EA0DF3"/>
    <w:rsid w:val="00EA2C12"/>
    <w:rsid w:val="00EA3544"/>
    <w:rsid w:val="00EA5B85"/>
    <w:rsid w:val="00EA6CF9"/>
    <w:rsid w:val="00EB0825"/>
    <w:rsid w:val="00EB0D50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E05CE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4AB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5479"/>
    <w:rsid w:val="00F91FB0"/>
    <w:rsid w:val="00F9379A"/>
    <w:rsid w:val="00F93D02"/>
    <w:rsid w:val="00F9501C"/>
    <w:rsid w:val="00F956FD"/>
    <w:rsid w:val="00F9724C"/>
    <w:rsid w:val="00F97554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2B3D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8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paragraph" w:customStyle="1" w:styleId="Default">
    <w:name w:val="Default"/>
    <w:rsid w:val="007960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71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71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718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942021-E545-48C5-A510-986764926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5</Pages>
  <Words>1536</Words>
  <Characters>9222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22</cp:revision>
  <cp:lastPrinted>2026-08-26T08:30:00Z</cp:lastPrinted>
  <dcterms:created xsi:type="dcterms:W3CDTF">2026-08-25T11:12:00Z</dcterms:created>
  <dcterms:modified xsi:type="dcterms:W3CDTF">2026-08-26T09:12:00Z</dcterms:modified>
</cp:coreProperties>
</file>