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1667"/>
        <w:tblW w:w="10641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440"/>
        <w:gridCol w:w="1057"/>
        <w:gridCol w:w="1480"/>
        <w:gridCol w:w="1615"/>
        <w:gridCol w:w="1203"/>
        <w:gridCol w:w="846"/>
      </w:tblGrid>
      <w:tr w:rsidR="000D2995">
        <w:trPr>
          <w:trHeight w:val="349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Czego dotyczy skarga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zasadna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bezzasadna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informacyjnie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bez biegu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suma</w:t>
            </w:r>
          </w:p>
        </w:tc>
      </w:tr>
      <w:tr w:rsidR="000D2995">
        <w:trPr>
          <w:trHeight w:val="349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</w:rPr>
            </w:pPr>
          </w:p>
        </w:tc>
      </w:tr>
      <w:tr w:rsidR="000D2995">
        <w:trPr>
          <w:trHeight w:val="676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left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I. Skargi na niewłaściwe działanie wydziałów Urzędu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D2995">
        <w:trPr>
          <w:trHeight w:val="314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numPr>
                <w:ilvl w:val="0"/>
                <w:numId w:val="2"/>
              </w:numPr>
              <w:jc w:val="left"/>
              <w:rPr>
                <w:rFonts w:ascii="Arial" w:hAnsi="Arial" w:cs="Arial"/>
                <w:b w:val="0"/>
                <w:bCs/>
                <w:sz w:val="22"/>
              </w:rPr>
            </w:pPr>
            <w:r>
              <w:rPr>
                <w:rFonts w:ascii="Arial" w:hAnsi="Arial" w:cs="Arial"/>
                <w:b w:val="0"/>
                <w:bCs/>
                <w:sz w:val="22"/>
              </w:rPr>
              <w:t>Wydział Miejskiego Konserwatora Zabytków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0D2995">
        <w:trPr>
          <w:trHeight w:val="522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numPr>
                <w:ilvl w:val="0"/>
                <w:numId w:val="2"/>
              </w:numPr>
              <w:jc w:val="left"/>
              <w:rPr>
                <w:rFonts w:ascii="Arial" w:hAnsi="Arial" w:cs="Arial"/>
                <w:b w:val="0"/>
                <w:bCs/>
                <w:sz w:val="22"/>
              </w:rPr>
            </w:pPr>
            <w:r>
              <w:rPr>
                <w:rFonts w:ascii="Arial" w:hAnsi="Arial" w:cs="Arial"/>
                <w:b w:val="0"/>
                <w:bCs/>
                <w:sz w:val="22"/>
              </w:rPr>
              <w:t>Wydział Lokalowy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</w:tr>
      <w:tr w:rsidR="000D2995">
        <w:trPr>
          <w:trHeight w:val="522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numPr>
                <w:ilvl w:val="0"/>
                <w:numId w:val="2"/>
              </w:numPr>
              <w:jc w:val="left"/>
              <w:rPr>
                <w:rFonts w:ascii="Arial" w:hAnsi="Arial" w:cs="Arial"/>
                <w:b w:val="0"/>
                <w:bCs/>
                <w:sz w:val="22"/>
              </w:rPr>
            </w:pPr>
            <w:r>
              <w:rPr>
                <w:rFonts w:ascii="Arial" w:hAnsi="Arial" w:cs="Arial"/>
                <w:b w:val="0"/>
                <w:bCs/>
                <w:sz w:val="22"/>
              </w:rPr>
              <w:t>Wydział Inżynierii Środowiska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</w:tr>
      <w:tr w:rsidR="000D2995">
        <w:trPr>
          <w:trHeight w:val="522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numPr>
                <w:ilvl w:val="0"/>
                <w:numId w:val="2"/>
              </w:numPr>
              <w:jc w:val="left"/>
              <w:rPr>
                <w:rFonts w:ascii="Arial" w:hAnsi="Arial" w:cs="Arial"/>
                <w:b w:val="0"/>
                <w:bCs/>
                <w:sz w:val="22"/>
              </w:rPr>
            </w:pPr>
            <w:r>
              <w:rPr>
                <w:rFonts w:ascii="Arial" w:hAnsi="Arial" w:cs="Arial"/>
                <w:b w:val="0"/>
                <w:bCs/>
                <w:sz w:val="22"/>
              </w:rPr>
              <w:t xml:space="preserve">Wydział </w:t>
            </w:r>
            <w:r>
              <w:rPr>
                <w:rFonts w:ascii="Arial" w:hAnsi="Arial" w:cs="Arial"/>
                <w:b w:val="0"/>
                <w:bCs/>
                <w:sz w:val="22"/>
              </w:rPr>
              <w:t>Komunikacji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</w:tr>
      <w:tr w:rsidR="000D2995">
        <w:trPr>
          <w:trHeight w:val="467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left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II. Skargi na pracowników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2995">
        <w:trPr>
          <w:trHeight w:val="418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numPr>
                <w:ilvl w:val="0"/>
                <w:numId w:val="5"/>
              </w:numPr>
              <w:jc w:val="left"/>
              <w:rPr>
                <w:rFonts w:ascii="Arial" w:hAnsi="Arial" w:cs="Arial"/>
                <w:b w:val="0"/>
                <w:bCs/>
                <w:sz w:val="22"/>
              </w:rPr>
            </w:pPr>
            <w:r>
              <w:rPr>
                <w:rFonts w:ascii="Arial" w:hAnsi="Arial" w:cs="Arial"/>
                <w:b w:val="0"/>
                <w:bCs/>
                <w:sz w:val="22"/>
              </w:rPr>
              <w:t>Wydział Obrotu Nieruchomościami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0D2995">
        <w:trPr>
          <w:trHeight w:val="418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left"/>
              <w:rPr>
                <w:rFonts w:ascii="Arial" w:hAnsi="Arial" w:cs="Arial"/>
                <w:b w:val="0"/>
                <w:bCs/>
                <w:sz w:val="28"/>
              </w:rPr>
            </w:pPr>
            <w:r>
              <w:rPr>
                <w:rFonts w:ascii="Arial" w:hAnsi="Arial" w:cs="Arial"/>
                <w:sz w:val="28"/>
              </w:rPr>
              <w:t>III. Skargi na działania samorządowych jednostek organizacyjnych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2995">
        <w:trPr>
          <w:trHeight w:val="349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numPr>
                <w:ilvl w:val="0"/>
                <w:numId w:val="3"/>
              </w:numPr>
              <w:jc w:val="left"/>
              <w:rPr>
                <w:rFonts w:ascii="Arial" w:hAnsi="Arial" w:cs="Arial"/>
                <w:b w:val="0"/>
                <w:bCs/>
                <w:sz w:val="22"/>
              </w:rPr>
            </w:pPr>
            <w:r>
              <w:rPr>
                <w:rFonts w:ascii="Arial" w:hAnsi="Arial" w:cs="Arial"/>
                <w:b w:val="0"/>
                <w:bCs/>
                <w:sz w:val="22"/>
              </w:rPr>
              <w:t xml:space="preserve">Centrum Przeciwdziałania Uzależnieniom w Bytomiu – Miejska Komisja rozwiązywania Problemów </w:t>
            </w:r>
            <w:r>
              <w:rPr>
                <w:rFonts w:ascii="Arial" w:hAnsi="Arial" w:cs="Arial"/>
                <w:b w:val="0"/>
                <w:bCs/>
                <w:sz w:val="22"/>
              </w:rPr>
              <w:t>Alkoholowych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0D2995">
        <w:trPr>
          <w:trHeight w:val="349"/>
          <w:jc w:val="center"/>
        </w:trPr>
        <w:tc>
          <w:tcPr>
            <w:tcW w:w="4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numPr>
                <w:ilvl w:val="0"/>
                <w:numId w:val="3"/>
              </w:numPr>
              <w:jc w:val="left"/>
              <w:rPr>
                <w:rFonts w:ascii="Arial" w:hAnsi="Arial" w:cs="Arial"/>
                <w:b w:val="0"/>
                <w:bCs/>
                <w:sz w:val="22"/>
              </w:rPr>
            </w:pPr>
            <w:r>
              <w:rPr>
                <w:rFonts w:ascii="Arial" w:hAnsi="Arial" w:cs="Arial"/>
                <w:b w:val="0"/>
                <w:bCs/>
                <w:sz w:val="22"/>
              </w:rPr>
              <w:t>Miejski Zarząd Dróg i Mostów</w:t>
            </w: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0D2995">
        <w:trPr>
          <w:trHeight w:val="418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left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IV.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Skargi przekazane zgodnie z właściwością do Rady Miejskiej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0D2995">
        <w:trPr>
          <w:trHeight w:val="418"/>
          <w:jc w:val="center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SUMA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0D2995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995" w:rsidRDefault="00D0608C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</w:tbl>
    <w:p w:rsidR="000D2995" w:rsidRDefault="00D0608C">
      <w:pPr>
        <w:pStyle w:val="Tekstpodstawowy"/>
        <w:spacing w:after="36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SOS.0641.1.2026</w:t>
      </w:r>
    </w:p>
    <w:p w:rsidR="000D2995" w:rsidRDefault="00D0608C">
      <w:pPr>
        <w:pStyle w:val="Tekstpodstawowy"/>
        <w:spacing w:after="1191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ANALIZA SKARG I WNIOSKÓW ZAREJESTROWANYCH W CENTRALNYM REJESTRZE SKARG I WNIOSKÓW W 2025 ROKU</w:t>
      </w:r>
    </w:p>
    <w:p w:rsidR="000D2995" w:rsidRDefault="00D0608C">
      <w:pPr>
        <w:pStyle w:val="Tekstpodstawowy"/>
        <w:spacing w:after="1191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Postępowanie w sprawach skarg i wniosków regulują przepisy rozdziału VIII ustawy z dnia 14 czerwca 1960 roku Kodeks postępowania administracyjnego (K.p.a.). Rozporządzenie Rady Ministrów z dnia 8 stycznia 2002r. określa organizację przyjmowania i rozpatryw</w:t>
      </w:r>
      <w:r>
        <w:rPr>
          <w:rFonts w:ascii="Arial" w:hAnsi="Arial" w:cs="Arial"/>
          <w:szCs w:val="24"/>
        </w:rPr>
        <w:t xml:space="preserve">ania skarg i wniosków składanych m.in. do organów jednostek samorządu terytorialnego. W Urzędzie Miejskim w Bytomiu organizację przyjmowania, rozpatrywania i załatwiania skarg i wniosków składanych w trybie </w:t>
      </w:r>
      <w:r>
        <w:rPr>
          <w:rFonts w:ascii="Arial" w:hAnsi="Arial" w:cs="Arial"/>
          <w:szCs w:val="24"/>
        </w:rPr>
        <w:lastRenderedPageBreak/>
        <w:t>rozdziału VIII K.p.a. reguluje zarządzenie Prezyd</w:t>
      </w:r>
      <w:r>
        <w:rPr>
          <w:rFonts w:ascii="Arial" w:hAnsi="Arial" w:cs="Arial"/>
          <w:szCs w:val="24"/>
        </w:rPr>
        <w:t xml:space="preserve">enta Bytomia nr 402 z dnia 23 września 2020 r. z </w:t>
      </w:r>
      <w:proofErr w:type="spellStart"/>
      <w:r>
        <w:rPr>
          <w:rFonts w:ascii="Arial" w:hAnsi="Arial" w:cs="Arial"/>
          <w:szCs w:val="24"/>
        </w:rPr>
        <w:t>późn</w:t>
      </w:r>
      <w:proofErr w:type="spellEnd"/>
      <w:r>
        <w:rPr>
          <w:rFonts w:ascii="Arial" w:hAnsi="Arial" w:cs="Arial"/>
          <w:szCs w:val="24"/>
        </w:rPr>
        <w:t>. zm.. Skargi i wnioski rejestrowane są w centralnym rejestrze skarg i wniosków, prowadzonym przez Referat Informacji i Skarg Wydziału Organizacyjnego.</w:t>
      </w:r>
    </w:p>
    <w:p w:rsidR="000D2995" w:rsidRDefault="00D0608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2025 roku, w centralnym rejestrze skarg i wniosków zarejestrowano 22 skargi, w tym 11 skarg Rady Miejskiej. </w:t>
      </w:r>
    </w:p>
    <w:p w:rsidR="000D2995" w:rsidRDefault="00D0608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Spośród 11 spraw, które wpłynęły do Prezydenta Bytomia, po przeprowadzeniu postępowań wyjaśniających, 6 skarg uznano za bezzasadne, a w 2 udzielo</w:t>
      </w:r>
      <w:r>
        <w:rPr>
          <w:rFonts w:ascii="Arial" w:hAnsi="Arial" w:cs="Arial"/>
          <w:sz w:val="24"/>
          <w:szCs w:val="24"/>
        </w:rPr>
        <w:t>no informacji i wyjaśnień.  Trzy, spośród przyjętych skarg, przekazano zgodnie z właściwością do Rady Miejskiej. Żadna skarga nie została uznana za zasadną.</w:t>
      </w:r>
    </w:p>
    <w:p w:rsidR="000D2995" w:rsidRDefault="00D0608C">
      <w:pPr>
        <w:spacing w:after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Wszystkie skargi  zostały załatwione w terminie wskazanym w art. 237§1 K.p.a., skarżący zostali zaw</w:t>
      </w:r>
      <w:r>
        <w:rPr>
          <w:rFonts w:ascii="Arial" w:hAnsi="Arial" w:cs="Arial"/>
          <w:sz w:val="24"/>
          <w:szCs w:val="24"/>
        </w:rPr>
        <w:t>iadomieni o sposobie ich załatwienia.</w:t>
      </w:r>
    </w:p>
    <w:p w:rsidR="000D2995" w:rsidRDefault="00D0608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niewłaściwe działanie</w:t>
      </w:r>
      <w:r>
        <w:rPr>
          <w:rFonts w:ascii="Arial" w:hAnsi="Arial" w:cs="Arial"/>
          <w:b/>
          <w:sz w:val="24"/>
          <w:szCs w:val="24"/>
        </w:rPr>
        <w:t xml:space="preserve"> WYDZIAŁÓW URZĘDU</w:t>
      </w:r>
      <w:r>
        <w:rPr>
          <w:rFonts w:ascii="Arial" w:hAnsi="Arial" w:cs="Arial"/>
          <w:sz w:val="24"/>
          <w:szCs w:val="24"/>
        </w:rPr>
        <w:t xml:space="preserve"> złożono 4 skargi, z czego 3 uznano za bezzasadne, a w 1 udzielono informacji i wyjaśnień.</w:t>
      </w:r>
    </w:p>
    <w:p w:rsidR="000D2995" w:rsidRDefault="00D0608C">
      <w:pPr>
        <w:pStyle w:val="Akapitzlist"/>
        <w:numPr>
          <w:ilvl w:val="0"/>
          <w:numId w:val="4"/>
        </w:numPr>
        <w:spacing w:after="2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Skarga złożona do</w:t>
      </w:r>
      <w:r>
        <w:rPr>
          <w:rFonts w:ascii="Arial" w:hAnsi="Arial" w:cs="Arial"/>
          <w:bCs/>
          <w:sz w:val="24"/>
          <w:szCs w:val="24"/>
        </w:rPr>
        <w:t xml:space="preserve"> Wydziału Miejskiego Konserwatora Zabytków dotyczyła wymiany bramy we</w:t>
      </w:r>
      <w:r>
        <w:rPr>
          <w:rFonts w:ascii="Arial" w:hAnsi="Arial" w:cs="Arial"/>
          <w:bCs/>
          <w:sz w:val="24"/>
          <w:szCs w:val="24"/>
        </w:rPr>
        <w:t>jściowej  oraz tabliczek firmowych witryny, podczas remontu budynku przy ul. Webera. W odpowiedzi została udzielona informacja, iż wymiana elementów nastąpiła bez wiedzy Zarządcy, który dysponował stosownym pozwolenie konserwatorskim na renowację stolarki.</w:t>
      </w:r>
      <w:r>
        <w:rPr>
          <w:rFonts w:ascii="Arial" w:hAnsi="Arial" w:cs="Arial"/>
          <w:bCs/>
          <w:sz w:val="24"/>
          <w:szCs w:val="24"/>
        </w:rPr>
        <w:t xml:space="preserve"> Skarga została uznana za bezzasadną.</w:t>
      </w:r>
    </w:p>
    <w:p w:rsidR="000D2995" w:rsidRDefault="00D0608C">
      <w:pPr>
        <w:pStyle w:val="Akapitzlist"/>
        <w:numPr>
          <w:ilvl w:val="0"/>
          <w:numId w:val="4"/>
        </w:numPr>
        <w:spacing w:after="2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Kolejna skarga, uznana za bezzasadną, została złożona do Wydziału Lokalowego i dotyczyła odmowy zawarcia umowy najmu na mieszkanie przy ul. Stalowej. W odpowiedzi poinformowano, że brak możliwości zawarcia umowy najmu </w:t>
      </w:r>
      <w:r>
        <w:rPr>
          <w:rFonts w:ascii="Arial" w:hAnsi="Arial" w:cs="Arial"/>
          <w:sz w:val="24"/>
          <w:szCs w:val="24"/>
        </w:rPr>
        <w:t>ww. lokalu wynika bezpośrednio z obowiązujących przepisów uchwały Rady Miejskiej w Bytomiu. Równocześnie wskazano alternatywne możliwości udzielenia pomocy mieszkaniowej w Bytomiu.</w:t>
      </w:r>
    </w:p>
    <w:p w:rsidR="000D2995" w:rsidRDefault="00D0608C">
      <w:pPr>
        <w:pStyle w:val="Akapitzlist"/>
        <w:numPr>
          <w:ilvl w:val="0"/>
          <w:numId w:val="4"/>
        </w:numPr>
        <w:spacing w:after="2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Skargę, na którą udzielono informacji i wyjaśnień, złożono do Wydziału Inży</w:t>
      </w:r>
      <w:r>
        <w:rPr>
          <w:rFonts w:ascii="Arial" w:hAnsi="Arial" w:cs="Arial"/>
          <w:sz w:val="24"/>
          <w:szCs w:val="24"/>
        </w:rPr>
        <w:t xml:space="preserve">nierii Środowiska. Dotyczyła ona niewłaściwego zachowania pracowników schroniska dla bezpańskich zwierząt, wobec osoby zainteresowanej wyprowadzeniem psa na spacer. Po przeanalizowaniu sprawy, podczas </w:t>
      </w:r>
      <w:r>
        <w:rPr>
          <w:rFonts w:ascii="Arial" w:hAnsi="Arial" w:cs="Arial"/>
          <w:sz w:val="24"/>
          <w:szCs w:val="24"/>
        </w:rPr>
        <w:lastRenderedPageBreak/>
        <w:t>przeprowadzonej rozmowy z Zarządcą schroniska, zobowiąz</w:t>
      </w:r>
      <w:r>
        <w:rPr>
          <w:rFonts w:ascii="Arial" w:hAnsi="Arial" w:cs="Arial"/>
          <w:sz w:val="24"/>
          <w:szCs w:val="24"/>
        </w:rPr>
        <w:t>ano go do przeprowadzenia rozmowy dyscyplinującej ze swoimi pracownikami, o czym składający skargę został poinformowany.</w:t>
      </w:r>
    </w:p>
    <w:p w:rsidR="000D2995" w:rsidRDefault="00D0608C">
      <w:pPr>
        <w:pStyle w:val="Akapitzlist"/>
        <w:numPr>
          <w:ilvl w:val="0"/>
          <w:numId w:val="4"/>
        </w:numPr>
        <w:spacing w:after="2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Wydziału Komunikacji złożono skargę dotyczącą odmowy rejestracji samochodu osobowego. Odmowa wynikała z nieprawidłowego sformułowani</w:t>
      </w:r>
      <w:r>
        <w:rPr>
          <w:rFonts w:ascii="Arial" w:hAnsi="Arial" w:cs="Arial"/>
          <w:sz w:val="24"/>
          <w:szCs w:val="24"/>
        </w:rPr>
        <w:t>a użytego w oświadczeniu o sprowadzeniu pojazdu. W odpowiedzi na skargę wskazano przepisy, które regulują kwestię informacji zawartych w oświadczeniu.</w:t>
      </w:r>
      <w:r>
        <w:rPr>
          <w:rFonts w:ascii="Arial" w:hAnsi="Arial" w:cs="Arial"/>
          <w:bCs/>
          <w:sz w:val="24"/>
          <w:szCs w:val="24"/>
        </w:rPr>
        <w:t xml:space="preserve"> Skargę uznano za bezzasadną.</w:t>
      </w:r>
    </w:p>
    <w:p w:rsidR="000D2995" w:rsidRDefault="00D0608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2025 roku zarejestrowano 2 skargi na </w:t>
      </w:r>
      <w:r>
        <w:rPr>
          <w:rFonts w:ascii="Arial" w:hAnsi="Arial" w:cs="Arial"/>
          <w:b/>
          <w:sz w:val="24"/>
          <w:szCs w:val="24"/>
        </w:rPr>
        <w:t xml:space="preserve">PRACOWNIKÓW WYDZIAŁÓW. </w:t>
      </w:r>
      <w:r>
        <w:rPr>
          <w:rFonts w:ascii="Arial" w:hAnsi="Arial" w:cs="Arial"/>
          <w:sz w:val="24"/>
          <w:szCs w:val="24"/>
        </w:rPr>
        <w:t>Obie złożono d</w:t>
      </w:r>
      <w:r>
        <w:rPr>
          <w:rFonts w:ascii="Arial" w:hAnsi="Arial" w:cs="Arial"/>
          <w:sz w:val="24"/>
          <w:szCs w:val="24"/>
        </w:rPr>
        <w:t xml:space="preserve">o Wydziału Obrotu Nieruchomościami. Skargi dotyczyły bezczynności urzędnika po złożeniu wniosku w przedmiocie udzielenia informacji o wysokości jednorazowej opłaty </w:t>
      </w:r>
      <w:proofErr w:type="spellStart"/>
      <w:r>
        <w:rPr>
          <w:rFonts w:ascii="Arial" w:hAnsi="Arial" w:cs="Arial"/>
          <w:sz w:val="24"/>
          <w:szCs w:val="24"/>
        </w:rPr>
        <w:t>przekształceniowej</w:t>
      </w:r>
      <w:proofErr w:type="spellEnd"/>
      <w:r>
        <w:rPr>
          <w:rFonts w:ascii="Arial" w:hAnsi="Arial" w:cs="Arial"/>
          <w:sz w:val="24"/>
          <w:szCs w:val="24"/>
        </w:rPr>
        <w:t>. Skargi uznano za bezzasadne, a w odpowiedzi wskazano, że odpowiedzi zost</w:t>
      </w:r>
      <w:r>
        <w:rPr>
          <w:rFonts w:ascii="Arial" w:hAnsi="Arial" w:cs="Arial"/>
          <w:sz w:val="24"/>
          <w:szCs w:val="24"/>
        </w:rPr>
        <w:t xml:space="preserve">ały udzielone w terminie 7 dni od złożenia kompletnego wniosku. W przypadku złożenia niekompletnego wniosku, a tak było w tych przypadkach, nie było możliwości sporządzenia informacji o wysokości jednorazowej opłaty </w:t>
      </w:r>
      <w:proofErr w:type="spellStart"/>
      <w:r>
        <w:rPr>
          <w:rFonts w:ascii="Arial" w:hAnsi="Arial" w:cs="Arial"/>
          <w:sz w:val="24"/>
          <w:szCs w:val="24"/>
        </w:rPr>
        <w:t>przekształceniowej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0D2995" w:rsidRDefault="000D2995">
      <w:pPr>
        <w:pStyle w:val="Akapitzlist"/>
        <w:spacing w:after="200" w:line="360" w:lineRule="auto"/>
        <w:ind w:left="0"/>
        <w:rPr>
          <w:rFonts w:ascii="Arial" w:hAnsi="Arial" w:cs="Arial"/>
          <w:sz w:val="24"/>
          <w:szCs w:val="24"/>
        </w:rPr>
      </w:pPr>
    </w:p>
    <w:p w:rsidR="000D2995" w:rsidRDefault="00D0608C">
      <w:pPr>
        <w:pStyle w:val="Akapitzlist"/>
        <w:spacing w:after="200" w:line="36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2025 roku zareje</w:t>
      </w:r>
      <w:r>
        <w:rPr>
          <w:rFonts w:ascii="Arial" w:hAnsi="Arial" w:cs="Arial"/>
          <w:sz w:val="24"/>
          <w:szCs w:val="24"/>
        </w:rPr>
        <w:t>strowano 2 skargi na niewłaściwe działanie</w:t>
      </w:r>
      <w:r>
        <w:rPr>
          <w:rFonts w:ascii="Arial" w:hAnsi="Arial" w:cs="Arial"/>
          <w:b/>
          <w:sz w:val="24"/>
          <w:szCs w:val="24"/>
        </w:rPr>
        <w:t xml:space="preserve"> SAMORZĄDOWYCH JEDNOSTEK ORGANIZACYJNYCH</w:t>
      </w:r>
      <w:r>
        <w:rPr>
          <w:rFonts w:ascii="Arial" w:hAnsi="Arial" w:cs="Arial"/>
          <w:sz w:val="24"/>
          <w:szCs w:val="24"/>
        </w:rPr>
        <w:t xml:space="preserve"> . </w:t>
      </w:r>
    </w:p>
    <w:p w:rsidR="000D2995" w:rsidRDefault="00D0608C">
      <w:pPr>
        <w:pStyle w:val="Akapitzlist"/>
        <w:spacing w:after="200" w:line="36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Jedna skarga dotyczyła Centrum Przeciwdziałania Uzależnieniom w Bytomiu – Miejskiej Komisji Rozwiązywania Problemów Alkoholowych i bezzasadnego skierowania na przymusowe </w:t>
      </w:r>
      <w:r>
        <w:rPr>
          <w:rFonts w:ascii="Arial" w:hAnsi="Arial" w:cs="Arial"/>
          <w:sz w:val="24"/>
          <w:szCs w:val="24"/>
        </w:rPr>
        <w:t xml:space="preserve">leczenie odwykowe.  Po przeanalizowaniu sprawy, wyjaśniono iż objęcie przymusowym leczeniem odwykowym w trybie ambulatoryjnym wynikało z opinii biegłego sądowego, który stwierdził taką konieczność. Wobec powyższego, Miejska Komisja Rozwiązywania Problemów </w:t>
      </w:r>
      <w:r>
        <w:rPr>
          <w:rFonts w:ascii="Arial" w:hAnsi="Arial" w:cs="Arial"/>
          <w:sz w:val="24"/>
          <w:szCs w:val="24"/>
        </w:rPr>
        <w:t>Alkoholowych skierowała do Sądu Rejonowego w Bytomiu wniosek o wszczęcie postępowania w sprawie zastosowania wobec skarżącego, obowiązku leczenia odwykowego.</w:t>
      </w:r>
    </w:p>
    <w:p w:rsidR="000D2995" w:rsidRDefault="00D0608C">
      <w:pPr>
        <w:pStyle w:val="Akapitzlist"/>
        <w:spacing w:after="200" w:line="36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Druga skarga została wniesiona na brak podjętych działań przez Miejski Zarząd Dróg i Mostów w Byto</w:t>
      </w:r>
      <w:r>
        <w:rPr>
          <w:rFonts w:ascii="Arial" w:hAnsi="Arial" w:cs="Arial"/>
          <w:sz w:val="24"/>
          <w:szCs w:val="24"/>
        </w:rPr>
        <w:t xml:space="preserve">miu, który nie dokonał naprawy nawierzchni drogowych na terenie miasta, pomimo wielokrotnych zgłoszeń. W odpowiedzi wskazano, iż ze względu na ograniczone środki finansowe ww. jednostka w pierwszej kolejności realizuje remonty dróg krajowych, wojewódzkich </w:t>
      </w:r>
      <w:r>
        <w:rPr>
          <w:rFonts w:ascii="Arial" w:hAnsi="Arial" w:cs="Arial"/>
          <w:sz w:val="24"/>
          <w:szCs w:val="24"/>
        </w:rPr>
        <w:t xml:space="preserve">i innych, po których odbywa się między innymi zbiorowa komunikacja autobusowa. Równocześnie wskazano, że część zgłaszanych przez skarżącego ubytków w nawierzchni zostało uzupełnionych i zapewniono, że </w:t>
      </w:r>
      <w:r>
        <w:rPr>
          <w:rFonts w:ascii="Arial" w:hAnsi="Arial" w:cs="Arial"/>
          <w:sz w:val="24"/>
          <w:szCs w:val="24"/>
        </w:rPr>
        <w:lastRenderedPageBreak/>
        <w:t>pozostałe zgłoszone ulice zostaną częściowo wyremontowa</w:t>
      </w:r>
      <w:r>
        <w:rPr>
          <w:rFonts w:ascii="Arial" w:hAnsi="Arial" w:cs="Arial"/>
          <w:sz w:val="24"/>
          <w:szCs w:val="24"/>
        </w:rPr>
        <w:t>ne wg dostępnych środków finansowych.</w:t>
      </w:r>
    </w:p>
    <w:p w:rsidR="000D2995" w:rsidRDefault="00D0608C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2025 roku, 3 skargi złożone do Prezydenta Miasta Bytomia zostały przekazane zgodnie z właściwością do Rady Miejskiej, stosownie do art. 231 w związku z art. 229 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>
        <w:rPr>
          <w:rFonts w:ascii="Arial" w:hAnsi="Arial" w:cs="Arial"/>
          <w:sz w:val="24"/>
          <w:szCs w:val="24"/>
        </w:rPr>
        <w:t xml:space="preserve"> 3 K.p.a. Skargi dotyczyły działania Centrum Przeciw</w:t>
      </w:r>
      <w:r>
        <w:rPr>
          <w:rFonts w:ascii="Arial" w:hAnsi="Arial" w:cs="Arial"/>
          <w:sz w:val="24"/>
          <w:szCs w:val="24"/>
        </w:rPr>
        <w:t>działania Uzależnieniom w Bytomiu – Miejskiej Komisji Rozwiązywania Problemów Alkoholowych, Bytomskich Mieszkań oraz Domu Pomocy Społecznej w Bytomiu.</w:t>
      </w:r>
    </w:p>
    <w:p w:rsidR="000D2995" w:rsidRDefault="00D0608C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11 skarg, które wpłynęły do Rady Miejskiej w Bytomiu w 2025 roku, podjęto uchwały, które zami</w:t>
      </w:r>
      <w:r>
        <w:rPr>
          <w:rFonts w:ascii="Arial" w:hAnsi="Arial" w:cs="Arial"/>
          <w:sz w:val="24"/>
          <w:szCs w:val="24"/>
        </w:rPr>
        <w:t>eszczono w BIP oraz na stronie internetowej Miasta. W przypadku każdej skargi, skarżący zostali pisemnie poinformowani o podjętych uchwałach.</w:t>
      </w:r>
    </w:p>
    <w:p w:rsidR="000D2995" w:rsidRDefault="00D0608C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Pracownik Referatu Informacji i Skarg przyjmuje osoby w sprawach skarg i wniosków codziennie, w godzinach pracy Ur</w:t>
      </w:r>
      <w:r>
        <w:rPr>
          <w:rFonts w:ascii="Arial" w:hAnsi="Arial" w:cs="Arial"/>
          <w:sz w:val="24"/>
          <w:szCs w:val="24"/>
        </w:rPr>
        <w:t>zędu. Większość zgłaszanych problemów rozwiązuje się i wyjaśnia na bieżąco. W 2025 roku odnotowano 31 takich interwencji.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Należy podkreślić, iż pracownik podejmuje działania na rzecz klientów każdorazowo w oparciu o obowiązujące regulacje prawne oraz okoli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czności faktyczne przedstawione w danej sprawie. Podejmowane działania mają charakter obiektywny i są realizowane z dużym zaangażowaniem w celu polubownego załatwienia sprawy. Wzrost liczby problemów rozwiązanych na miejscu, wynika z należytej staranności </w:t>
      </w:r>
      <w:r>
        <w:rPr>
          <w:rFonts w:ascii="Arial" w:hAnsi="Arial" w:cs="Arial"/>
          <w:color w:val="000000" w:themeColor="text1"/>
          <w:sz w:val="24"/>
          <w:szCs w:val="24"/>
        </w:rPr>
        <w:t>oraz dobrej organizacji pracy. Analiza</w:t>
      </w:r>
      <w:r>
        <w:rPr>
          <w:rFonts w:ascii="Arial" w:hAnsi="Arial" w:cs="Arial"/>
          <w:sz w:val="24"/>
          <w:szCs w:val="24"/>
        </w:rPr>
        <w:t xml:space="preserve"> rozpatrywanych w Urzędzie skarg i wniosków może wskazać obszary wymagające poprawy oraz pomóc w planowaniu audytów wewnętrznych, a informacje z niej pozyskane służyć poprawie funkcjonowania Urzędu.</w:t>
      </w:r>
    </w:p>
    <w:p w:rsidR="000D2995" w:rsidRDefault="00D0608C" w:rsidP="009C35FB">
      <w:pPr>
        <w:spacing w:after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Niniejsze sprawozda</w:t>
      </w:r>
      <w:r>
        <w:rPr>
          <w:rFonts w:ascii="Arial" w:hAnsi="Arial" w:cs="Arial"/>
          <w:sz w:val="24"/>
          <w:szCs w:val="24"/>
        </w:rPr>
        <w:t xml:space="preserve">nie, po zatwierdzeniu przez Prezydenta Bytomia, zostanie opublikowane w </w:t>
      </w:r>
      <w:proofErr w:type="spellStart"/>
      <w:r>
        <w:rPr>
          <w:rFonts w:ascii="Arial" w:hAnsi="Arial" w:cs="Arial"/>
          <w:sz w:val="24"/>
          <w:szCs w:val="24"/>
        </w:rPr>
        <w:t>BIP-ie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0D2995" w:rsidRDefault="00D0608C" w:rsidP="009C35FB">
      <w:pPr>
        <w:spacing w:after="24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Podpisał Prezydent Miasta Mariusz Wołosz</w:t>
      </w:r>
    </w:p>
    <w:p w:rsidR="000D2995" w:rsidRDefault="00D0608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Otrzymują:</w:t>
      </w:r>
    </w:p>
    <w:p w:rsidR="000D2995" w:rsidRDefault="00D0608C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PJ</w:t>
      </w:r>
    </w:p>
    <w:p w:rsidR="000D2995" w:rsidRDefault="00D0608C">
      <w:pPr>
        <w:numPr>
          <w:ilvl w:val="0"/>
          <w:numId w:val="1"/>
        </w:numPr>
        <w:spacing w:after="3628"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a/a</w:t>
      </w:r>
      <w:r>
        <w:rPr>
          <w:rFonts w:ascii="Arial" w:hAnsi="Arial" w:cs="Arial"/>
        </w:rPr>
        <w:br/>
      </w:r>
      <w:r>
        <w:rPr>
          <w:rFonts w:ascii="Arial;Helvetica;Geneva;sans-ser" w:hAnsi="Arial;Helvetica;Geneva;sans-ser" w:cs="Arial"/>
          <w:color w:val="000000"/>
          <w:sz w:val="18"/>
          <w:szCs w:val="24"/>
        </w:rPr>
        <w:t>2496/04/2026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</w:p>
    <w:sectPr w:rsidR="000D2995" w:rsidSect="000D2995">
      <w:footerReference w:type="even" r:id="rId8"/>
      <w:footerReference w:type="default" r:id="rId9"/>
      <w:footerReference w:type="first" r:id="rId10"/>
      <w:pgSz w:w="11906" w:h="16838"/>
      <w:pgMar w:top="1418" w:right="1418" w:bottom="766" w:left="1418" w:header="0" w:footer="709" w:gutter="0"/>
      <w:cols w:space="708"/>
      <w:formProt w:val="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08C" w:rsidRDefault="00D0608C" w:rsidP="000D2995">
      <w:r>
        <w:separator/>
      </w:r>
    </w:p>
  </w:endnote>
  <w:endnote w:type="continuationSeparator" w:id="0">
    <w:p w:rsidR="00D0608C" w:rsidRDefault="00D0608C" w:rsidP="000D2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;Helvetica;Geneva;sans-s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95" w:rsidRDefault="000D299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95" w:rsidRDefault="000D2995">
    <w:pPr>
      <w:pStyle w:val="Stopka"/>
      <w:jc w:val="center"/>
    </w:pPr>
    <w:r>
      <w:fldChar w:fldCharType="begin"/>
    </w:r>
    <w:r w:rsidR="00D0608C">
      <w:instrText xml:space="preserve"> PAGE </w:instrText>
    </w:r>
    <w:r>
      <w:fldChar w:fldCharType="separate"/>
    </w:r>
    <w:r w:rsidR="009C35FB">
      <w:rPr>
        <w:noProof/>
      </w:rPr>
      <w:t>4</w:t>
    </w:r>
    <w:r>
      <w:fldChar w:fldCharType="end"/>
    </w:r>
  </w:p>
  <w:p w:rsidR="000D2995" w:rsidRDefault="000D299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72606"/>
      <w:docPartObj>
        <w:docPartGallery w:val="Page Numbers (Bottom of Page)"/>
        <w:docPartUnique/>
      </w:docPartObj>
    </w:sdtPr>
    <w:sdtContent>
      <w:p w:rsidR="000D2995" w:rsidRDefault="000D2995">
        <w:pPr>
          <w:pStyle w:val="Stopka"/>
          <w:jc w:val="center"/>
        </w:pPr>
        <w:r>
          <w:fldChar w:fldCharType="begin"/>
        </w:r>
        <w:r w:rsidR="00D0608C">
          <w:instrText xml:space="preserve"> PAGE </w:instrText>
        </w:r>
        <w:r>
          <w:fldChar w:fldCharType="separate"/>
        </w:r>
        <w:r w:rsidR="00D0608C">
          <w:t>4</w:t>
        </w:r>
        <w:r>
          <w:fldChar w:fldCharType="end"/>
        </w:r>
      </w:p>
    </w:sdtContent>
  </w:sdt>
  <w:p w:rsidR="000D2995" w:rsidRDefault="000D299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08C" w:rsidRDefault="00D0608C" w:rsidP="000D2995">
      <w:r>
        <w:separator/>
      </w:r>
    </w:p>
  </w:footnote>
  <w:footnote w:type="continuationSeparator" w:id="0">
    <w:p w:rsidR="00D0608C" w:rsidRDefault="00D0608C" w:rsidP="000D29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0D82"/>
    <w:multiLevelType w:val="multilevel"/>
    <w:tmpl w:val="F30800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EC55C2"/>
    <w:multiLevelType w:val="multilevel"/>
    <w:tmpl w:val="87BCA1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2AD6D63"/>
    <w:multiLevelType w:val="multilevel"/>
    <w:tmpl w:val="9B9C1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A1B77C5"/>
    <w:multiLevelType w:val="multilevel"/>
    <w:tmpl w:val="27681A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51B284F"/>
    <w:multiLevelType w:val="multilevel"/>
    <w:tmpl w:val="35C2A8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99874A4"/>
    <w:multiLevelType w:val="multilevel"/>
    <w:tmpl w:val="F8CC6F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2995"/>
    <w:rsid w:val="000D2995"/>
    <w:rsid w:val="009C35FB"/>
    <w:rsid w:val="00D06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2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06225"/>
    <w:pPr>
      <w:keepNext/>
      <w:jc w:val="both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622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qFormat/>
    <w:rsid w:val="00406225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4062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062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416C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displayonly">
    <w:name w:val="display_only"/>
    <w:basedOn w:val="Domylnaczcionkaakapitu"/>
    <w:qFormat/>
    <w:rsid w:val="00B50C5A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A21D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A21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A21D5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40622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406225"/>
    <w:pPr>
      <w:jc w:val="center"/>
    </w:pPr>
    <w:rPr>
      <w:sz w:val="24"/>
    </w:rPr>
  </w:style>
  <w:style w:type="paragraph" w:styleId="Lista">
    <w:name w:val="List"/>
    <w:basedOn w:val="Tekstpodstawowy"/>
    <w:rsid w:val="000D2995"/>
    <w:rPr>
      <w:rFonts w:cs="Lucida Sans"/>
    </w:rPr>
  </w:style>
  <w:style w:type="paragraph" w:styleId="Legenda">
    <w:name w:val="caption"/>
    <w:basedOn w:val="Normalny"/>
    <w:qFormat/>
    <w:rsid w:val="000D299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D2995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rsid w:val="000D299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rsid w:val="000D2995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0D2995"/>
  </w:style>
  <w:style w:type="paragraph" w:customStyle="1" w:styleId="Gwkaistopkauser">
    <w:name w:val="Główka i stopka (user)"/>
    <w:basedOn w:val="Normalny"/>
    <w:qFormat/>
    <w:rsid w:val="000D2995"/>
  </w:style>
  <w:style w:type="paragraph" w:styleId="Stopka">
    <w:name w:val="footer"/>
    <w:basedOn w:val="Normalny"/>
    <w:link w:val="StopkaZnak"/>
    <w:uiPriority w:val="99"/>
    <w:unhideWhenUsed/>
    <w:rsid w:val="00406225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1E5BF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416C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21D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A21D5"/>
    <w:rPr>
      <w:b/>
      <w:bCs/>
    </w:rPr>
  </w:style>
  <w:style w:type="paragraph" w:customStyle="1" w:styleId="Zawartoramki">
    <w:name w:val="Zawartość ramki"/>
    <w:basedOn w:val="Normalny"/>
    <w:qFormat/>
    <w:rsid w:val="000D2995"/>
  </w:style>
  <w:style w:type="paragraph" w:customStyle="1" w:styleId="Zawartoramkiuser">
    <w:name w:val="Zawartość ramki (user)"/>
    <w:basedOn w:val="Normalny"/>
    <w:qFormat/>
    <w:rsid w:val="000D299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BD27D-9E3B-4CE4-9383-9583C84FB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</Pages>
  <Words>1038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akucinska</dc:creator>
  <dc:description/>
  <cp:lastModifiedBy>ajanocha</cp:lastModifiedBy>
  <cp:revision>20</cp:revision>
  <cp:lastPrinted>2026-01-20T13:22:00Z</cp:lastPrinted>
  <dcterms:created xsi:type="dcterms:W3CDTF">2026-01-19T08:25:00Z</dcterms:created>
  <dcterms:modified xsi:type="dcterms:W3CDTF">2026-05-04T11:38:00Z</dcterms:modified>
  <dc:language>pl-PL</dc:language>
</cp:coreProperties>
</file>