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LXXIII/944/23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stycznia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rozpatrzenia 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 uwzględnia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złożonej przez Koło Partii Razem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podjęcia przez Radę Miejską uchwały zakazującej sprzedaży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używania fajerwerków oraz innych środków pirotechnicznych na terenie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 rozstrzygnięcia petycji znajduje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uzasadnieniu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jej rozpatrzenia poprzez przesłanie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12 grudnia 2022 r. do Urzędu Miejskiego w Bytomiu wpłynęło pismo Koła Partii Razem w Bytomiu z petycją w sprawie podjęcia przez Radę Miejską uchwały zakazującej sprzedaży i używania fajerwerków oraz innych środków pirotechnicznych na terenie miasta Bytomia. Komisja Skarg, Wniosków i Petycji Rady Miejskiej w Bytomiu na posiedzeniu w dniu 23 stycznia 2023 r. po zapoznaniu się z pisemną opinią prawną zakwalifikowała przedmiotowe pismo jako petycję. Zgodnie z wymienioną opinią prawną brak podstaw prawnych, aby rada gminy mogła podjąć uchwałę zakazującą sprzedaży i używania fajerwerków oraz innych środków pirotechnicznych na terenie gminy. Przepis art. 40 ust. 3 ustawy o samorządzie gminnym, w oparciu o który niektóre gminy podejmują uchwały w ww. sprawie, upoważnia radę gminy do stanowienia przepisów porządkowych w zakresie nieuregulowanym w odrębnych ustawach. Kwestia obrotu i używania środków pirotechnicznych została natomiast kompleksowo uregulowana w przepisach powszechnie obowiązujących zatem nie można uznać, że jest spełniona przesłanka umożliwiająca wydanie przepisów porządkowych w wymienionym zakresie, w oparciu o ww. artykuł ustawy o samorządzie gminnym.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po przeanalizowaniu treści petycji i po dyskusji postanowiła nie uwzględnić petycji i wnosi do Rady Miejskiej w Bytomiu o podjęcie niniejszej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0623F566-E484-4179-BDC1-AA4806CC840D.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0623F566-E484-4179-BDC1-AA4806CC840D.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LXXIII/944/23 z dnia 30 stycznia 2023 r.</dc:title>
  <dc:subject>w sprawie rozpatrzenia petycji</dc:subject>
  <dc:creator>masocha</dc:creator>
  <cp:lastModifiedBy>masocha</cp:lastModifiedBy>
  <cp:revision>1</cp:revision>
  <dcterms:created xsi:type="dcterms:W3CDTF">2023-02-01T08:21:23Z</dcterms:created>
  <dcterms:modified xsi:type="dcterms:W3CDTF">2023-02-01T08:21:23Z</dcterms:modified>
  <cp:category>Akt prawny</cp:category>
</cp:coreProperties>
</file>