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do sporządzenia zmiany Studium uwarunkowań i kierunków zagospodarowania przestrzennego Gminy Bytom,  przyjętego uchwałą nr XVI/204/11 Rady Miejskiej w Bytomiu z dnia 24 sierpnia 2011 r., z późniejszymi zmianami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27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503,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Przystępuje się do sporządzenia zmiany Studium uwarunkowań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kierunków zagospodarowania przestrzennego Gminy Bytom,  przyjętego uchwałą nr XVI/204/11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zmienionego uchwałą nr X/120/13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uchwałą nr XXXVIII/485/17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uchwałą nr LXI/814/18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uchwałą nr LXIV/839/18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uchwałą nr XXXII/463/20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oraz uchwałą nr XL/549/21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dla ośmiu obszarów.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Granice obszarów objętych niniejszą uchwałą określają załączniki graficzne nr: 1, 2, 3, stanowiące integralne części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Zalacznik2.pdf</w:t>
        </w:r>
      </w:hyperlink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10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Zalacznik3.pdf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ustawy z dnia 27 marca 2003 r. o planowaniu i zagospodarowaniu przestrzennym (Dz. U. z 202</w:t>
      </w:r>
      <w:r>
        <w:rPr>
          <w:rFonts w:eastAsia="Times New Roman" w:cs="Times New Roman"/>
          <w:szCs w:val="20"/>
        </w:rPr>
        <w:t>2</w:t>
      </w:r>
      <w:r>
        <w:rPr>
          <w:rFonts w:eastAsia="Times New Roman" w:cs="Times New Roman"/>
          <w:szCs w:val="20"/>
        </w:rPr>
        <w:t> r. poz. </w:t>
      </w:r>
      <w:r>
        <w:rPr>
          <w:rFonts w:eastAsia="Times New Roman" w:cs="Times New Roman"/>
          <w:szCs w:val="20"/>
        </w:rPr>
        <w:t xml:space="preserve">503, </w:t>
      </w:r>
      <w:r>
        <w:rPr>
          <w:rFonts w:eastAsia="Times New Roman" w:cs="Times New Roman"/>
          <w:szCs w:val="20"/>
        </w:rPr>
        <w:t>z późn. zm.</w:t>
      </w:r>
      <w:r>
        <w:rPr>
          <w:rFonts w:eastAsia="Times New Roman" w:cs="Times New Roman"/>
          <w:szCs w:val="20"/>
        </w:rPr>
        <w:t>), w celu określenia polityki przestrzennej gminy, w tym lokalnych zasad zagospodarowania przestrzennego, rada gminy podejmuje uchwałę o przystąpieniu do sporządzenia studium uwarunkowań i kierunków zagospodarowania przestrzennego gminy. Zgodnie z art. 27 ww. ustawy, zmiana studium następuje w takim trybie, w jakim jest ono uchwalane.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Zasadniczym c</w:t>
      </w:r>
      <w:r>
        <w:rPr>
          <w:rFonts w:eastAsia="Times New Roman" w:cs="Times New Roman"/>
          <w:szCs w:val="20"/>
        </w:rPr>
        <w:t xml:space="preserve">elem przedmiotowej zmiany Studium jest dostosowanie </w:t>
      </w:r>
      <w:r>
        <w:rPr>
          <w:rFonts w:eastAsia="Times New Roman" w:cs="Times New Roman"/>
          <w:szCs w:val="20"/>
        </w:rPr>
        <w:t xml:space="preserve">jego </w:t>
      </w:r>
      <w:r>
        <w:rPr>
          <w:rFonts w:eastAsia="Times New Roman" w:cs="Times New Roman"/>
          <w:szCs w:val="20"/>
        </w:rPr>
        <w:t>zapisów do aktualnych uwarunkowań i potrzeb rozwojowych miasta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w </w:t>
      </w:r>
      <w:r>
        <w:rPr>
          <w:rFonts w:eastAsia="Times New Roman" w:cs="Times New Roman"/>
          <w:szCs w:val="20"/>
        </w:rPr>
        <w:t xml:space="preserve">tym wyznaczanie nowych terenów inwestycyjnych wraz z dopuszczeniem możliwości </w:t>
      </w:r>
      <w:r>
        <w:rPr>
          <w:rFonts w:eastAsia="Times New Roman" w:cs="Times New Roman"/>
          <w:szCs w:val="20"/>
        </w:rPr>
        <w:t>rozmieszcz</w:t>
      </w:r>
      <w:r>
        <w:rPr>
          <w:rFonts w:eastAsia="Times New Roman" w:cs="Times New Roman"/>
          <w:szCs w:val="20"/>
        </w:rPr>
        <w:t>enia</w:t>
      </w:r>
      <w:r>
        <w:rPr>
          <w:rFonts w:eastAsia="Times New Roman" w:cs="Times New Roman"/>
          <w:szCs w:val="20"/>
        </w:rPr>
        <w:t xml:space="preserve"> urządze</w:t>
      </w:r>
      <w:r>
        <w:rPr>
          <w:rFonts w:eastAsia="Times New Roman" w:cs="Times New Roman"/>
          <w:szCs w:val="20"/>
        </w:rPr>
        <w:t>ń</w:t>
      </w:r>
      <w:r>
        <w:rPr>
          <w:rFonts w:eastAsia="Times New Roman" w:cs="Times New Roman"/>
          <w:szCs w:val="20"/>
        </w:rPr>
        <w:t xml:space="preserve"> wytwarzając</w:t>
      </w:r>
      <w:r>
        <w:rPr>
          <w:rFonts w:eastAsia="Times New Roman" w:cs="Times New Roman"/>
          <w:szCs w:val="20"/>
        </w:rPr>
        <w:t>ych</w:t>
      </w:r>
      <w:r>
        <w:rPr>
          <w:rFonts w:eastAsia="Times New Roman" w:cs="Times New Roman"/>
          <w:szCs w:val="20"/>
        </w:rPr>
        <w:t xml:space="preserve"> energię z odnawialnych źródeł energii o mocy przekraczającej 500 kW.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 związku z </w:t>
      </w:r>
      <w:r>
        <w:rPr>
          <w:rFonts w:eastAsia="Times New Roman" w:cs="Times New Roman"/>
          <w:szCs w:val="20"/>
        </w:rPr>
        <w:t>tym,</w:t>
      </w:r>
      <w:r>
        <w:rPr>
          <w:rFonts w:eastAsia="Times New Roman" w:cs="Times New Roman"/>
          <w:szCs w:val="20"/>
        </w:rPr>
        <w:t xml:space="preserve"> wyznaczono </w:t>
      </w:r>
      <w:r>
        <w:rPr>
          <w:rFonts w:eastAsia="Times New Roman" w:cs="Times New Roman"/>
          <w:szCs w:val="20"/>
        </w:rPr>
        <w:t xml:space="preserve">osiem </w:t>
      </w:r>
      <w:r>
        <w:rPr>
          <w:rFonts w:eastAsia="Times New Roman" w:cs="Times New Roman"/>
          <w:color w:val="000000"/>
          <w:szCs w:val="20"/>
          <w:u w:color="000000"/>
        </w:rPr>
        <w:t>obszar</w:t>
      </w:r>
      <w:r>
        <w:rPr>
          <w:rFonts w:eastAsia="Times New Roman" w:cs="Times New Roman"/>
          <w:color w:val="000000"/>
          <w:szCs w:val="20"/>
          <w:u w:color="000000"/>
        </w:rPr>
        <w:t>ów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proponowanych do</w:t>
      </w:r>
      <w:r>
        <w:rPr>
          <w:rFonts w:eastAsia="Times New Roman" w:cs="Times New Roman"/>
          <w:color w:val="000000"/>
          <w:szCs w:val="20"/>
          <w:u w:color="000000"/>
        </w:rPr>
        <w:t xml:space="preserve"> zmiany ustaleń obowiązującego Studium</w:t>
      </w:r>
      <w:r>
        <w:rPr>
          <w:rFonts w:eastAsia="Times New Roman" w:cs="Times New Roman"/>
          <w:color w:val="000000"/>
          <w:szCs w:val="20"/>
          <w:u w:color="000000"/>
        </w:rPr>
        <w:t xml:space="preserve"> w powyższym zakresie</w:t>
      </w:r>
      <w:r>
        <w:rPr>
          <w:rFonts w:eastAsia="Times New Roman" w:cs="Times New Roman"/>
          <w:color w:val="000000"/>
          <w:szCs w:val="20"/>
          <w:u w:color="00000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Proponowane zmiany kierunków przeznaczeń ww. obszarów mogą ulec korektom wynikającym z przeprowadzanych dalszych prac projektowych</w:t>
      </w:r>
      <w:r>
        <w:rPr>
          <w:rFonts w:eastAsia="Times New Roman" w:cs="Times New Roman"/>
          <w:color w:val="000000"/>
          <w:szCs w:val="20"/>
          <w:u w:color="000000"/>
        </w:rPr>
        <w:t>,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 xml:space="preserve">a także </w:t>
      </w:r>
      <w:r>
        <w:rPr>
          <w:rFonts w:eastAsia="Times New Roman" w:cs="Times New Roman"/>
          <w:color w:val="000000"/>
          <w:szCs w:val="20"/>
          <w:u w:color="000000"/>
        </w:rPr>
        <w:t>w </w:t>
      </w:r>
      <w:r>
        <w:rPr>
          <w:rFonts w:eastAsia="Times New Roman" w:cs="Times New Roman"/>
          <w:color w:val="000000"/>
          <w:szCs w:val="20"/>
          <w:u w:color="000000"/>
        </w:rPr>
        <w:t xml:space="preserve">następstwie </w:t>
      </w:r>
      <w:r>
        <w:rPr>
          <w:rFonts w:eastAsia="Times New Roman" w:cs="Times New Roman"/>
          <w:color w:val="000000"/>
          <w:szCs w:val="20"/>
          <w:u w:color="000000"/>
        </w:rPr>
        <w:t>rozstrzygnięć złożonych wniosków, uwag lub uzyskanych uzgodnień.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 podjęciu przez Radę Miejską w Bytomiu uchwały o przystąpieniu do sporządzenia zmiany Studium, Prezydent Miasta kolejno wypełni zadania określone w art. 11 ustawy o planowaniu i zagospodarowaniu przestrzennym.</w:t>
      </w:r>
    </w:p>
    <w:sectPr>
      <w:footerReference w:type="default" r:id="rId11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A0DF3F6D-2BF9-4362-A64A-33BD3B05E8E3.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A0DF3F6D-2BF9-4362-A64A-33BD3B05E8E3.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A0DF3F6D-2BF9-4362-A64A-33BD3B05E8E3.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A0DF3F6D-2BF9-4362-A64A-33BD3B05E8E3.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A0DF3F6D-2BF9-4362-A64A-33BD3B05E8E3.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Zalacznik3.pdf" TargetMode="External" /><Relationship Id="rId11" Type="http://schemas.openxmlformats.org/officeDocument/2006/relationships/footer" Target="footer5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przystąpienia do sporządzenia zmiany Studium uwarunkowań i^kierunków zagospodarowania przestrzennego Gminy Bytom,  przyjętego uchwałą nr XVI/204/11 Rady Miejskiej w^Bytomiu z^dnia 24^sierpnia 2011^r., z^późniejszymi zmianami</dc:subject>
  <dc:creator>bdobrowolska</dc:creator>
  <cp:lastModifiedBy>bdobrowolska</cp:lastModifiedBy>
  <cp:revision>1</cp:revision>
  <dcterms:created xsi:type="dcterms:W3CDTF">2023-01-16T10:32:26Z</dcterms:created>
  <dcterms:modified xsi:type="dcterms:W3CDTF">2023-01-16T10:32:26Z</dcterms:modified>
  <cp:category>Akt prawny</cp:category>
</cp:coreProperties>
</file>