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!-- Generated by Aspose.Words for .NET 21.11.0 -->
  <w:body>
    <w:p w:rsidR="00A77B3E">
      <w:pPr>
        <w:spacing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/>
          <w:caps/>
          <w:sz w:val="24"/>
        </w:rPr>
        <w:t>Uchwała</w:t>
      </w:r>
      <w:r>
        <w:rPr>
          <w:rFonts w:ascii="Arial" w:eastAsia="Arial" w:hAnsi="Arial" w:cs="Arial"/>
          <w:b/>
          <w:caps/>
          <w:sz w:val="24"/>
        </w:rPr>
        <w:t xml:space="preserve"> Nr LXXII/923/22</w:t>
      </w:r>
      <w:r>
        <w:rPr>
          <w:rFonts w:ascii="Arial" w:eastAsia="Arial" w:hAnsi="Arial" w:cs="Arial"/>
          <w:b/>
          <w:caps/>
          <w:sz w:val="24"/>
        </w:rPr>
        <w:br/>
      </w:r>
      <w:r>
        <w:rPr>
          <w:rFonts w:ascii="Arial" w:eastAsia="Arial" w:hAnsi="Arial" w:cs="Arial"/>
          <w:b/>
          <w:caps/>
          <w:sz w:val="24"/>
        </w:rPr>
        <w:t>Rady Miejskiej w Bytomiu</w:t>
      </w:r>
    </w:p>
    <w:p w:rsidR="00A77B3E">
      <w:pPr>
        <w:spacing w:before="280" w:after="280" w:line="240" w:lineRule="auto"/>
        <w:ind w:left="0"/>
        <w:jc w:val="center"/>
        <w:rPr>
          <w:rFonts w:ascii="Arial" w:eastAsia="Arial" w:hAnsi="Arial" w:cs="Arial"/>
          <w:b/>
          <w:caps/>
          <w:sz w:val="24"/>
        </w:rPr>
      </w:pPr>
      <w:r>
        <w:rPr>
          <w:rFonts w:ascii="Arial" w:eastAsia="Arial" w:hAnsi="Arial" w:cs="Arial"/>
          <w:b w:val="0"/>
          <w:caps w:val="0"/>
          <w:sz w:val="24"/>
        </w:rPr>
        <w:t>z dnia 19 grudnia 2022 r.</w:t>
      </w:r>
    </w:p>
    <w:p w:rsidR="00A77B3E">
      <w:pPr>
        <w:keepNext/>
        <w:spacing w:before="0" w:after="480" w:line="240" w:lineRule="auto"/>
        <w:ind w:left="0" w:right="0" w:firstLine="0"/>
        <w:jc w:val="center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caps w:val="0"/>
          <w:sz w:val="24"/>
        </w:rPr>
        <w:t>zmieniająca uchwałę nr XXXVI/521/20 Rady Miejskiej w Bytomiu w sprawie nadania Statutu Miejskiemu Ośrodkowi Pomocy Rodzinie w Bytomiu</w:t>
      </w:r>
    </w:p>
    <w:p w:rsidR="00A77B3E">
      <w:pPr>
        <w:keepNext w:val="0"/>
        <w:keepLines/>
        <w:spacing w:before="120" w:after="120" w:line="240" w:lineRule="auto"/>
        <w:ind w:left="0" w:right="0" w:firstLine="227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Na podstawie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3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5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czerwca 1998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powiatowym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1526),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15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8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1990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samorządzie gminnym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559,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110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112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marca 2004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pomocy społecznej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2268,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27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sierpnia 2009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finansach publicznych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1634,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późn. zm.) oraz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4 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1, 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8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art.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13 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 ustawy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lipca 2000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ogłaszaniu aktów normatywnych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niektórych innych aktów prawnych (Dz.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2019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1461) uchwala się, co następuje: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1.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 uchwale nr XXXVI/521/20 Rady Miejskiej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dnia 21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grudnia 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sprawie nadania Statutu Miejskiemu Ośrodkowi Pomocy Rodzinie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Bytomiu (Dz. Urz. Woj. Śl.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2020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9515 oraz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2022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r. poz.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1446, 3794,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6015 i 8230),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załączniku,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§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5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ust.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1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pkt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2,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lit.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średnik zastępuje się przecinkiem i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dodaje się lit.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x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brzmieniu:</w:t>
      </w:r>
    </w:p>
    <w:p w:rsidR="00A77B3E">
      <w:pPr>
        <w:keepNext w:val="0"/>
        <w:keepLines/>
        <w:spacing w:before="120" w:after="120" w:line="240" w:lineRule="auto"/>
        <w:ind w:left="907" w:right="0" w:hanging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b w:val="0"/>
          <w:i w:val="0"/>
          <w:u w:val="none"/>
        </w:rPr>
        <w:t>„</w:t>
      </w:r>
      <w:r>
        <w:rPr>
          <w:rFonts w:ascii="Arial" w:eastAsia="Arial" w:hAnsi="Arial" w:cs="Arial"/>
          <w:sz w:val="24"/>
        </w:rPr>
        <w:t>x)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prowadzenie spraw dotyczących wypłaty dodatku elektrycznego na podstawie ustawy o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szczególnych rozwiązaniach służących ochronie odbiorców energii elektrycznej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2023 roku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związku z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sytuacją na rynku energii elektrycznej;”.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2.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Wykonanie uchwały powierza się Prezydentowi Miasta.</w:t>
      </w:r>
    </w:p>
    <w:p w:rsidR="00A77B3E">
      <w:pPr>
        <w:keepNext w:val="0"/>
        <w:keepLines/>
        <w:spacing w:before="120" w:after="120" w:line="240" w:lineRule="auto"/>
        <w:ind w:left="0" w:right="0" w:firstLine="340"/>
        <w:jc w:val="left"/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</w:pPr>
      <w:r>
        <w:rPr>
          <w:rFonts w:ascii="Arial" w:eastAsia="Arial" w:hAnsi="Arial" w:cs="Arial"/>
          <w:b/>
          <w:sz w:val="24"/>
        </w:rPr>
        <w:t>§ 3.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Uchwała wchodzi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życie po upływie 14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dni od dnia ogłoszenia w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 </w:t>
      </w:r>
      <w:r>
        <w:rPr>
          <w:rFonts w:ascii="Arial" w:eastAsia="Arial" w:hAnsi="Arial" w:cs="Arial"/>
          <w:b w:val="0"/>
          <w:caps w:val="0"/>
          <w:strike w:val="0"/>
          <w:color w:val="auto"/>
          <w:sz w:val="24"/>
          <w:u w:val="none"/>
        </w:rPr>
        <w:t>Dzienniku Urzędowym Województwa Śląskiego.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108" w:type="dxa"/>
          <w:right w:w="108" w:type="dxa"/>
        </w:tblCellMar>
      </w:tblPr>
      <w:tblGrid>
        <w:gridCol w:w="5041"/>
        <w:gridCol w:w="5041"/>
      </w:tblGrid>
      <w:tr>
        <w:tblPrEx>
          <w:tblW w:w="5000" w:type="pct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ayout w:type="fixed"/>
          <w:tblCellMar>
            <w:left w:w="108" w:type="dxa"/>
            <w:right w:w="108" w:type="dxa"/>
          </w:tblCellMar>
        </w:tblPrEx>
        <w:trPr>
          <w:trHeight w:hRule="auto" w:val="0"/>
        </w:trPr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both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</w:p>
        </w:tc>
        <w:tc>
          <w:tcPr>
            <w:tcW w:w="5040" w:type="dxa"/>
            <w:tcBorders>
              <w:top w:val="nil"/>
              <w:left w:val="nil"/>
              <w:bottom w:val="nil"/>
              <w:right w:val="nil"/>
            </w:tcBorders>
            <w:noWrap w:val="0"/>
            <w:tcMar>
              <w:top w:w="100" w:type="dxa"/>
            </w:tcMar>
            <w:textDirection w:val="lrTb"/>
            <w:vAlign w:val="top"/>
          </w:tcPr>
          <w:p w:rsidR="00A77B3E">
            <w:pPr>
              <w:spacing w:before="0" w:after="0"/>
              <w:jc w:val="center"/>
              <w:rPr>
                <w:rFonts w:ascii="Arial" w:eastAsia="Arial" w:hAnsi="Arial" w:cs="Arial"/>
                <w:b w:val="0"/>
                <w:i w:val="0"/>
                <w:caps w:val="0"/>
                <w:strike w:val="0"/>
                <w:color w:val="auto"/>
                <w:sz w:val="24"/>
                <w:u w:val="none"/>
                <w:vertAlign w:val="baseline"/>
              </w:rPr>
            </w:pPr>
            <w:r>
              <w:t>Wiceprzewodniczący Rady Miejskiej</w:t>
            </w:r>
          </w:p>
          <w:p>
            <w:pPr>
              <w:jc w:val="center"/>
            </w:pPr>
          </w:p>
          <w:p>
            <w:pPr>
              <w:jc w:val="center"/>
            </w:pPr>
            <w:r>
              <w:rPr>
                <w:b/>
              </w:rPr>
              <w:t>Grzegorz Nowak</w:t>
            </w:r>
          </w:p>
        </w:tc>
      </w:tr>
    </w:tbl>
    <w:p w:rsidR="00A77B3E">
      <w:pPr>
        <w:spacing w:before="0" w:after="0"/>
        <w:rPr>
          <w:rFonts w:ascii="Arial" w:eastAsia="Arial" w:hAnsi="Arial" w:cs="Arial"/>
          <w:b w:val="0"/>
          <w:i w:val="0"/>
          <w:caps w:val="0"/>
          <w:strike w:val="0"/>
          <w:color w:val="auto"/>
          <w:sz w:val="24"/>
          <w:u w:val="none"/>
          <w:vertAlign w:val="baseline"/>
        </w:rPr>
        <w:sectPr>
          <w:footerReference w:type="default" r:id="rId4"/>
          <w:endnotePr>
            <w:numFmt w:val="decimal"/>
          </w:endnotePr>
          <w:pgSz w:w="11906" w:h="16838"/>
          <w:pgMar w:top="1417" w:right="1020" w:bottom="992" w:left="1020" w:header="708" w:footer="708" w:gutter="0"/>
          <w:cols w:space="708"/>
          <w:docGrid w:linePitch="360"/>
        </w:sectPr>
      </w:pP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0" w:beforeAutospacing="0" w:after="0" w:afterAutospacing="0" w:line="240" w:lineRule="auto"/>
        <w:ind w:left="0" w:right="0" w:firstLine="0"/>
        <w:contextualSpacing w:val="0"/>
        <w:jc w:val="center"/>
        <w:rPr>
          <w:rFonts w:eastAsia="Times New Roman" w:cs="Times New Roman"/>
          <w:szCs w:val="20"/>
        </w:rPr>
      </w:pPr>
      <w:r>
        <w:rPr>
          <w:rFonts w:eastAsia="Times New Roman" w:cs="Times New Roman"/>
          <w:caps/>
          <w:szCs w:val="20"/>
        </w:rPr>
        <w:t>Uzasadnienie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Podjęcie uchwały zmieniającej uchwałę nr XXXVI/521/20 Rady Miejskiej w Bytomiu z dnia 21 grudnia 2020 r. w sprawie nadania Statutu Miejskiemu Ośrodkowi Pomocy Rodzinie w Bytomiu, jest wynikiem powierzenia Ośrodkowi prowadzenia spraw dotyczących wypłaty dodatku elektrycznego na podstawie ustawy z dnia 7 października 2022 r. o szczególnych rozwiązaniach służących ochronie odbiorców energii elektrycznej w 2023 roku w związku z sytuacją na rynku energii elektrycznej (Dz. U. z 2022 r. poz. 2127).</w:t>
      </w:r>
    </w:p>
    <w:p>
      <w:pPr>
        <w:keepNext w:val="0"/>
        <w:keepLines w:val="0"/>
        <w:widowControl/>
        <w:suppressLineNumbers w:val="0"/>
        <w:shd w:val="clear" w:color="auto" w:fill="auto"/>
        <w:suppressAutoHyphens w:val="0"/>
        <w:spacing w:before="120" w:beforeAutospacing="0" w:after="120" w:afterAutospacing="0" w:line="240" w:lineRule="auto"/>
        <w:ind w:left="0" w:right="0" w:firstLine="227"/>
        <w:contextualSpacing w:val="0"/>
        <w:rPr>
          <w:rFonts w:eastAsia="Times New Roman" w:cs="Times New Roman"/>
          <w:szCs w:val="20"/>
        </w:rPr>
      </w:pPr>
      <w:r>
        <w:rPr>
          <w:rFonts w:eastAsia="Times New Roman" w:cs="Times New Roman"/>
          <w:szCs w:val="20"/>
        </w:rPr>
        <w:t>Ww. projekt uchwały został poddany konsultacjom, na podstawie uchwały nr XXIX/395/14 Rady Miejskiej w Bytomiu z dnia 24 marca 2014 r. w sprawie określenia szczegółowego sposobu konsultowania z radą działalności pożytku publicznego lub organizacjami pozarządowymi i podmiotami wymienionymi w art. 3 ust. 3 ustawy o działalności pożytku publicznego i o wolontariacie projektów aktów prawa miejscowego w dziedzinach dotyczących działalności statutowej tych organizacji z późn. zm.</w:t>
      </w:r>
    </w:p>
    <w:sectPr>
      <w:footerReference w:type="default" r:id="rId5"/>
      <w:endnotePr>
        <w:numFmt w:val="decimal"/>
      </w:endnotePr>
      <w:type w:val="nextPage"/>
      <w:pgSz w:w="11906" w:h="16838" w:code="0"/>
      <w:pgMar w:top="1417" w:right="1020" w:bottom="992" w:left="1020" w:header="708" w:footer="708" w:gutter="0"/>
      <w:cols w:space="708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7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5D84597A-035F-4EC5-9C45-4A37B5874407.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5000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108" w:type="dxa"/>
        <w:right w:w="108" w:type="dxa"/>
      </w:tblCellMar>
    </w:tblPr>
    <w:tblGrid>
      <w:gridCol w:w="6577"/>
      <w:gridCol w:w="3289"/>
    </w:tblGrid>
    <w:tr>
      <w:tblPrEx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8" w:type="dxa"/>
          <w:right w:w="108" w:type="dxa"/>
        </w:tblCellMar>
      </w:tblPrEx>
      <w:tc>
        <w:tcPr>
          <w:tcW w:w="6577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lef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>Id: 5D84597A-035F-4EC5-9C45-4A37B5874407. Podpisany</w:t>
          </w:r>
        </w:p>
      </w:tc>
      <w:tc>
        <w:tcPr>
          <w:tcW w:w="3289" w:type="dxa"/>
          <w:tcBorders>
            <w:top w:val="single" w:sz="2" w:space="0" w:color="auto"/>
            <w:left w:val="nil"/>
            <w:bottom w:val="nil"/>
            <w:right w:val="nil"/>
          </w:tcBorders>
          <w:noWrap w:val="0"/>
          <w:tcMar>
            <w:top w:w="100" w:type="dxa"/>
          </w:tcMar>
          <w:textDirection w:val="lrTb"/>
          <w:vAlign w:val="top"/>
        </w:tcPr>
        <w:p>
          <w:pPr>
            <w:jc w:val="right"/>
            <w:rPr>
              <w:rFonts w:ascii="Arial" w:eastAsia="Arial" w:hAnsi="Arial" w:cs="Arial"/>
              <w:b w:val="0"/>
              <w:sz w:val="18"/>
            </w:rPr>
          </w:pPr>
          <w:r>
            <w:rPr>
              <w:rFonts w:ascii="Arial" w:eastAsia="Arial" w:hAnsi="Arial" w:cs="Arial"/>
              <w:b w:val="0"/>
              <w:sz w:val="18"/>
            </w:rPr>
            <w:t xml:space="preserve">Strona </w:t>
          </w:r>
          <w:r>
            <w:rPr>
              <w:rFonts w:ascii="Arial" w:eastAsia="Arial" w:hAnsi="Arial" w:cs="Arial"/>
              <w:b w:val="0"/>
              <w:sz w:val="18"/>
            </w:rPr>
            <w:fldChar w:fldCharType="begin"/>
          </w:r>
          <w:r>
            <w:rPr>
              <w:rFonts w:ascii="Arial" w:eastAsia="Arial" w:hAnsi="Arial" w:cs="Arial"/>
              <w:b w:val="0"/>
              <w:sz w:val="18"/>
            </w:rPr>
            <w:instrText>PAGE</w:instrText>
          </w:r>
          <w:r>
            <w:rPr>
              <w:rFonts w:ascii="Arial" w:eastAsia="Arial" w:hAnsi="Arial" w:cs="Arial"/>
              <w:b w:val="0"/>
              <w:sz w:val="18"/>
            </w:rPr>
            <w:fldChar w:fldCharType="separate"/>
          </w:r>
          <w:r>
            <w:rPr>
              <w:rFonts w:ascii="Arial" w:eastAsia="Arial" w:hAnsi="Arial" w:cs="Arial"/>
              <w:b w:val="0"/>
              <w:sz w:val="18"/>
            </w:rPr>
            <w:fldChar w:fldCharType="end"/>
          </w:r>
        </w:p>
      </w:tc>
    </w:tr>
  </w:tbl>
  <w:p>
    <w:pPr>
      <w:rPr>
        <w:rFonts w:ascii="Arial" w:eastAsia="Arial" w:hAnsi="Arial" w:cs="Arial"/>
        <w:b w:val="0"/>
        <w:sz w:val="18"/>
      </w:rPr>
    </w:pPr>
  </w:p>
</w:ft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stylePaneFormatFilter w:val="3F01"/>
  <w:defaultTabStop w:val="720"/>
  <w:noPunctuationKerning/>
  <w:characterSpacingControl w:val="doNotCompress"/>
  <w:endnotePr>
    <w:numFmt w:val="decimal"/>
  </w:endnotePr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77B3E"/>
    <w:rsid w:val="00A77B3E"/>
    <w:rsid w:val="00CA2A55"/>
  </w:rsids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pl-PL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pPr>
      <w:jc w:val="left"/>
    </w:pPr>
    <w:rPr>
      <w:rFonts w:ascii="Arial" w:eastAsia="Arial" w:hAnsi="Arial" w:cs="Arial"/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footer" Target="footer1.xml" /><Relationship Id="rId5" Type="http://schemas.openxmlformats.org/officeDocument/2006/relationships/footer" Target="footer2.xml" /><Relationship Id="rId6" Type="http://schemas.openxmlformats.org/officeDocument/2006/relationships/theme" Target="theme/theme1.xml" /><Relationship Id="rId7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/>
      </a:dk1>
      <a:lt1>
        <a:sysClr val="window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</Template>
  <TotalTime>0</TotalTime>
  <Pages>1</Pages>
  <Words>0</Words>
  <Characters>0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Rada Miejska w Bytomiu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Uchwała Nr LXXII/923/22 z dnia 19 grudnia 2022 r.</dc:title>
  <dc:subject>zmieniająca uchwałę nr XXXVI/521/20 Rady Miejskiej w^Bytomiu w^sprawie nadania Statutu Miejskiemu Ośrodkowi Pomocy Rodzinie w^Bytomiu</dc:subject>
  <dc:creator>masocha</dc:creator>
  <cp:lastModifiedBy>masocha</cp:lastModifiedBy>
  <cp:revision>1</cp:revision>
  <dcterms:created xsi:type="dcterms:W3CDTF">2022-12-22T10:46:48Z</dcterms:created>
  <dcterms:modified xsi:type="dcterms:W3CDTF">2022-12-22T10:46:48Z</dcterms:modified>
  <cp:category>Akt prawny</cp:category>
</cp:coreProperties>
</file>