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82309">
      <w:pPr>
        <w:jc w:val="center"/>
        <w:rPr>
          <w:b/>
          <w:caps/>
        </w:rPr>
      </w:pPr>
      <w:r>
        <w:rPr>
          <w:b/>
          <w:caps/>
        </w:rPr>
        <w:t>Uchwała Nr LXXI/891/22</w:t>
      </w:r>
      <w:r>
        <w:rPr>
          <w:b/>
          <w:caps/>
        </w:rPr>
        <w:br/>
        <w:t>Rady Miejskiej w Bytomiu</w:t>
      </w:r>
    </w:p>
    <w:p w:rsidR="00A77B3E" w:rsidRDefault="00182309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182309">
      <w:pPr>
        <w:keepNext/>
        <w:spacing w:after="480"/>
        <w:jc w:val="center"/>
      </w:pPr>
      <w:r>
        <w:rPr>
          <w:b/>
        </w:rPr>
        <w:t>w sprawie wysokości stawek podatku od nieruchomości na terenie miasta Bytomia</w:t>
      </w:r>
    </w:p>
    <w:p w:rsidR="00A77B3E" w:rsidRDefault="00182309">
      <w:pPr>
        <w:keepLines/>
        <w:spacing w:before="120" w:after="120"/>
        <w:ind w:firstLine="227"/>
      </w:pPr>
      <w:r>
        <w:t xml:space="preserve">Na podstawie art. 18 ust. 2 pkt 8, art. 40 ust. 1, art. 41 ust. 1 i art. 42 ustawy z dnia 8 marca </w:t>
      </w:r>
      <w:r>
        <w:t>1990 r. o samorządzie gminnym (Dz. U. z 2022 r. poz. 559, z późn. zm.), art. 5 ust. 1 ustawy z dnia 12 stycznia 1991 r. o podatkach i opłatach lokalnych (Dz. U. z 2022 r. poz. 1452, z późn. zm.), art. 4 ust. 1, art. 8 i art. 13 pkt 2 ustawy z dnia 20 lipca</w:t>
      </w:r>
      <w:r>
        <w:t xml:space="preserve"> 2000 r. o ogłaszaniu aktów normatywnych i niektórych innych aktów prawnych (Dz. U. z 2019 r. poz. 1461) uchwala się, co następuje:</w:t>
      </w:r>
    </w:p>
    <w:p w:rsidR="00A77B3E" w:rsidRDefault="00182309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roczne stawki podatku od nieruchomości:</w:t>
      </w:r>
    </w:p>
    <w:p w:rsidR="00A77B3E" w:rsidRDefault="00182309">
      <w:pPr>
        <w:spacing w:before="120" w:after="120"/>
        <w:ind w:left="340" w:hanging="227"/>
      </w:pPr>
      <w:r>
        <w:t>1) </w:t>
      </w:r>
      <w:r>
        <w:t>od budynków lub ich części: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"/>
        <w:gridCol w:w="8507"/>
        <w:gridCol w:w="1125"/>
      </w:tblGrid>
      <w:tr w:rsidR="006F4F70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a)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mieszkalnych – od 1 m² powierzchn</w:t>
            </w:r>
            <w:r>
              <w:t>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pPr>
              <w:jc w:val="right"/>
            </w:pPr>
            <w:r>
              <w:t>1,00 zł,</w:t>
            </w:r>
          </w:p>
        </w:tc>
      </w:tr>
      <w:tr w:rsidR="006F4F70">
        <w:trPr>
          <w:trHeight w:val="95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b)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związanych z prowadzeniem działalności gospodarczej oraz od budynków mieszkalnych lub ich części zajętych na prowadzenie działalności gospodarczej 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pPr>
              <w:jc w:val="right"/>
            </w:pPr>
            <w:r>
              <w:br/>
            </w:r>
            <w:r>
              <w:br/>
              <w:t>28,78 zł,</w:t>
            </w:r>
          </w:p>
        </w:tc>
      </w:tr>
      <w:tr w:rsidR="006F4F70">
        <w:trPr>
          <w:trHeight w:val="58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c)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zajętych na prowadzenie działalności</w:t>
            </w:r>
            <w:r>
              <w:t xml:space="preserve"> gospodarczej w zakresie obrotu kwalifikowanym materiałem siewnym 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pPr>
              <w:jc w:val="right"/>
            </w:pPr>
            <w:r>
              <w:br/>
              <w:t>13,47 zł,</w:t>
            </w:r>
          </w:p>
        </w:tc>
      </w:tr>
      <w:tr w:rsidR="006F4F70">
        <w:trPr>
          <w:trHeight w:val="79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d)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 xml:space="preserve">związanych z udzielaniem świadczeń zdrowotnych w rozumieniu przepisów o działalności leczniczej, zajętych przez podmioty udzielające tych </w:t>
            </w:r>
            <w:r>
              <w:t>świadczeń</w:t>
            </w:r>
          </w:p>
          <w:p w:rsidR="006F4F70" w:rsidRDefault="00182309">
            <w:r>
              <w:t>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pPr>
              <w:jc w:val="right"/>
            </w:pPr>
            <w:r>
              <w:br/>
            </w:r>
            <w:r>
              <w:br/>
              <w:t>5,87 zł,</w:t>
            </w:r>
          </w:p>
        </w:tc>
      </w:tr>
      <w:tr w:rsidR="006F4F70">
        <w:trPr>
          <w:trHeight w:val="57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e)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pozostałych, w tym zajętych na prowadzenie odpłatnej statutowej działalności pożytku publicznego przez organizacje pożytku publicznego 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6F4F70" w:rsidRDefault="006F4F70"/>
          <w:p w:rsidR="006F4F70" w:rsidRDefault="00182309">
            <w:pPr>
              <w:jc w:val="right"/>
            </w:pPr>
            <w:r>
              <w:t>9,71 zł;</w:t>
            </w:r>
          </w:p>
        </w:tc>
      </w:tr>
    </w:tbl>
    <w:p w:rsidR="00A77B3E" w:rsidRDefault="00182309">
      <w:pPr>
        <w:spacing w:before="120" w:after="120"/>
        <w:ind w:left="340" w:hanging="227"/>
      </w:pPr>
      <w:r>
        <w:t>2) </w:t>
      </w:r>
      <w:r>
        <w:t xml:space="preserve">od budowli: 2% </w:t>
      </w:r>
      <w:r>
        <w:t>wartości określonej na podstawie art. 4 ust. 1 pkt 3 i ust. 3 – 7 ustawy o podatkach i opłatach lokalnych;</w:t>
      </w:r>
    </w:p>
    <w:p w:rsidR="00A77B3E" w:rsidRDefault="00182309">
      <w:pPr>
        <w:spacing w:before="120" w:after="120"/>
        <w:ind w:left="340" w:hanging="227"/>
      </w:pPr>
      <w:r>
        <w:t>3) </w:t>
      </w:r>
      <w:r>
        <w:t>od gruntów: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5"/>
        <w:gridCol w:w="8567"/>
        <w:gridCol w:w="1050"/>
      </w:tblGrid>
      <w:tr w:rsidR="006F4F70">
        <w:trPr>
          <w:trHeight w:val="54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a)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związanych z prowadzeniem działalności gospodarczej, bez względu na sposób zakwalifikowania w ewidencji gruntów i budynków – od 1 m</w:t>
            </w:r>
            <w:r>
              <w:t>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pPr>
              <w:jc w:val="right"/>
            </w:pPr>
            <w:r>
              <w:br/>
              <w:t>1,16 zł,</w:t>
            </w:r>
          </w:p>
        </w:tc>
      </w:tr>
      <w:tr w:rsidR="006F4F70">
        <w:trPr>
          <w:trHeight w:val="57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b)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pod wodami powierzchniowymi stojącymi lub wodami powierzchniowymi płynącymi jezior i zbiorników sztucznych – od 1 ha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pPr>
              <w:jc w:val="right"/>
            </w:pPr>
            <w:r>
              <w:br/>
              <w:t>5,79 zł,</w:t>
            </w:r>
          </w:p>
        </w:tc>
      </w:tr>
      <w:tr w:rsidR="006F4F70">
        <w:trPr>
          <w:trHeight w:val="57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c)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 xml:space="preserve">pozostałych, w tym zajętych na prowadzenie odpłatnej statutowej działalności pożytku </w:t>
            </w:r>
            <w:r>
              <w:t>publicznego przez organizacje pożytku publicznego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6F4F70" w:rsidRDefault="006F4F70"/>
          <w:p w:rsidR="006F4F70" w:rsidRDefault="00182309">
            <w:pPr>
              <w:jc w:val="right"/>
            </w:pPr>
            <w:r>
              <w:t>0,61 zł,</w:t>
            </w:r>
          </w:p>
        </w:tc>
      </w:tr>
      <w:tr w:rsidR="006F4F70">
        <w:trPr>
          <w:trHeight w:val="641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d)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r>
              <w:t>niezabudowanych objętych obszarem rewitalizacji, o którym mowa w ustawie z dnia 9 października 2015 r. o rewitalizacji (Dz. U. z 2018 r. poz. 1398 oraz z 2019 r. poz. 73</w:t>
            </w:r>
            <w:r>
              <w:t xml:space="preserve">0) i położonych na terenach, dla których miejscowy plan zagospodarowania przestrzennego przewiduje przeznaczenie pod zabudowę mieszkaniową, usługową albo zabudowę o przeznaczeniu mieszanym </w:t>
            </w:r>
            <w:r>
              <w:lastRenderedPageBreak/>
              <w:t>obejmującym wyłącznie te rodzaje zabudowy, jeżeli od dnia wejścia w</w:t>
            </w:r>
            <w:r>
              <w:t> życie tego planu w odniesieniu do tych gruntów upłynął okres 4 lat, a w tym czasie nie zakończono budowy zgodnie z przepisami prawa budowlanego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  <w:p w:rsidR="006F4F70" w:rsidRDefault="006F4F70"/>
          <w:p w:rsidR="006F4F70" w:rsidRDefault="006F4F70"/>
          <w:p w:rsidR="006F4F70" w:rsidRDefault="006F4F70"/>
          <w:p w:rsidR="006F4F70" w:rsidRDefault="006F4F70"/>
          <w:p w:rsidR="006F4F70" w:rsidRDefault="006F4F70"/>
          <w:p w:rsidR="006F4F70" w:rsidRDefault="006F4F70"/>
          <w:p w:rsidR="006F4F70" w:rsidRDefault="006F4F70"/>
          <w:p w:rsidR="006F4F70" w:rsidRDefault="00182309">
            <w:pPr>
              <w:jc w:val="right"/>
            </w:pPr>
            <w:r>
              <w:t>3,81 zł.</w:t>
            </w:r>
          </w:p>
        </w:tc>
      </w:tr>
    </w:tbl>
    <w:p w:rsidR="00A77B3E" w:rsidRDefault="00182309">
      <w:pPr>
        <w:keepLines/>
        <w:spacing w:before="120" w:after="120"/>
        <w:ind w:firstLine="340"/>
      </w:pPr>
      <w:r>
        <w:rPr>
          <w:b/>
        </w:rPr>
        <w:lastRenderedPageBreak/>
        <w:t>§ 2. </w:t>
      </w:r>
      <w:r>
        <w:t>Traci moc uchwała nr LI/675/21 Rady Miejskiej w Bytomiu z dnia 22 </w:t>
      </w:r>
      <w:r>
        <w:t>listopada 2021 r. w sprawie wysokości stawek podatku od nieruchomości na terenie miasta Bytomia (Dz. Urz. Woj. Śl. z 2021 r. poz. 7501).</w:t>
      </w:r>
    </w:p>
    <w:p w:rsidR="00A77B3E" w:rsidRDefault="00182309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182309">
      <w:pPr>
        <w:keepLines/>
        <w:spacing w:before="120" w:after="120"/>
        <w:ind w:firstLine="340"/>
      </w:pPr>
      <w:r>
        <w:rPr>
          <w:b/>
        </w:rPr>
        <w:t>§ 4. </w:t>
      </w:r>
      <w:r>
        <w:t>Uchwała podlega ogłoszeniu w Dzienniku Urzędowym Wojewódz</w:t>
      </w:r>
      <w:r>
        <w:t>twa Śląskiego i wchodzi w życie z dniem 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6F4F70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82309">
            <w:pPr>
              <w:jc w:val="center"/>
            </w:pPr>
            <w:r>
              <w:t>Przewodniczący Rady Miejskiej</w:t>
            </w:r>
          </w:p>
          <w:p w:rsidR="006F4F70" w:rsidRDefault="006F4F70"/>
          <w:p w:rsidR="006F4F70" w:rsidRDefault="00182309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6F4F70" w:rsidRDefault="006F4F70">
      <w:pPr>
        <w:rPr>
          <w:rFonts w:eastAsia="Times New Roman" w:cs="Times New Roman"/>
          <w:szCs w:val="20"/>
        </w:rPr>
      </w:pPr>
    </w:p>
    <w:p w:rsidR="006F4F70" w:rsidRDefault="0018230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F4F70" w:rsidRDefault="0018230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podstawie ustawy o podatkach i opłatach lokalnych, górne granice stawek podatku od nieruchomości na 2023 rok waloryzowane są o wskaźnik wzrostu cen towarów i usług konsumpcyjnych w okresie pierwszego półrocza roku, </w:t>
      </w:r>
      <w:r>
        <w:rPr>
          <w:rFonts w:eastAsia="Times New Roman" w:cs="Times New Roman"/>
          <w:szCs w:val="20"/>
        </w:rPr>
        <w:t>w którym stawki ulegają zmianie, w stosunku do analogicznego okresu roku poprzedniego. Wskaźnik ten ogłaszany jest przez Prezesa Głównego Urzędu Statystycznego i za I półrocze 2022 roku wyniósł 11,8%.</w:t>
      </w:r>
    </w:p>
    <w:p w:rsidR="006F4F70" w:rsidRDefault="0018230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opublikowanym wskaźnikiem, maksymalne możliwe</w:t>
      </w:r>
      <w:r>
        <w:rPr>
          <w:rFonts w:eastAsia="Times New Roman" w:cs="Times New Roman"/>
          <w:szCs w:val="20"/>
        </w:rPr>
        <w:t xml:space="preserve"> do zastosowania na 2023 rok stawki podatkowe przeliczone zostały przez Ministra Finansów i określone w obwieszczeniu z dnia 28 lipca 2022 r. w sprawie górnych granic stawek kwotowych podatków i opłat lokalnych na rok 2023 (M. P. z dnia 1 sierpnia 2022 r. </w:t>
      </w:r>
      <w:r>
        <w:rPr>
          <w:rFonts w:eastAsia="Times New Roman" w:cs="Times New Roman"/>
          <w:szCs w:val="20"/>
        </w:rPr>
        <w:t>poz. 731).</w:t>
      </w:r>
    </w:p>
    <w:p w:rsidR="006F4F70" w:rsidRDefault="0018230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projekcie uchwały zaproponowano na 2023 rok stawki maksymalne. Konieczność określenia stawek w takiej wysokości wiąże się z założeniami do projektu budżetu miasta Bytomia na 2023 rok, zgodnie z którymi dla ustalenia wysokości dochodów z tytułu</w:t>
      </w:r>
      <w:r>
        <w:rPr>
          <w:rFonts w:eastAsia="Times New Roman" w:cs="Times New Roman"/>
          <w:szCs w:val="20"/>
        </w:rPr>
        <w:t xml:space="preserve"> podatku od nieruchomości przyjęto stawki określone w obwieszczeniu Ministra Finansów w sprawie górnych granic stawek kwotowych podatków i opłat lokalnych na rok 2023.</w:t>
      </w:r>
    </w:p>
    <w:p w:rsidR="006F4F70" w:rsidRDefault="0018230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Planowane dochody z tytułu podatku od nieruchomości będą możliwe do wykonania przy uwzgl</w:t>
      </w:r>
      <w:r>
        <w:rPr>
          <w:rFonts w:eastAsia="Times New Roman" w:cs="Times New Roman"/>
          <w:szCs w:val="20"/>
        </w:rPr>
        <w:t>ędnieniu stawek podatkowych na 2023 rok, ujętych w niniejszym projekcie.</w:t>
      </w:r>
    </w:p>
    <w:sectPr w:rsidR="006F4F70" w:rsidSect="006F4F7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F70" w:rsidRDefault="006F4F70" w:rsidP="006F4F70">
      <w:r>
        <w:separator/>
      </w:r>
    </w:p>
  </w:endnote>
  <w:endnote w:type="continuationSeparator" w:id="0">
    <w:p w:rsidR="006F4F70" w:rsidRDefault="006F4F70" w:rsidP="006F4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F4F7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F4F70" w:rsidRDefault="00182309">
          <w:pPr>
            <w:rPr>
              <w:sz w:val="18"/>
            </w:rPr>
          </w:pPr>
          <w:r>
            <w:rPr>
              <w:sz w:val="18"/>
            </w:rPr>
            <w:t>Id: 28A134B9-79D5-4460-A635-A75B7B505867.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F4F70" w:rsidRDefault="001823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F4F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F4F70">
            <w:rPr>
              <w:sz w:val="18"/>
            </w:rPr>
            <w:fldChar w:fldCharType="end"/>
          </w:r>
        </w:p>
      </w:tc>
    </w:tr>
  </w:tbl>
  <w:p w:rsidR="006F4F70" w:rsidRDefault="006F4F7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F4F7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F4F70" w:rsidRDefault="00182309">
          <w:pPr>
            <w:rPr>
              <w:sz w:val="18"/>
            </w:rPr>
          </w:pPr>
          <w:r>
            <w:rPr>
              <w:sz w:val="18"/>
            </w:rPr>
            <w:t>Id: 28A134B9-79D5-4460-A635-A75B7B505867.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F4F70" w:rsidRDefault="001823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F4F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6F4F70">
            <w:rPr>
              <w:sz w:val="18"/>
            </w:rPr>
            <w:fldChar w:fldCharType="end"/>
          </w:r>
        </w:p>
      </w:tc>
    </w:tr>
  </w:tbl>
  <w:p w:rsidR="006F4F70" w:rsidRDefault="006F4F7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F70" w:rsidRDefault="006F4F70" w:rsidP="006F4F70">
      <w:r>
        <w:separator/>
      </w:r>
    </w:p>
  </w:footnote>
  <w:footnote w:type="continuationSeparator" w:id="0">
    <w:p w:rsidR="006F4F70" w:rsidRDefault="006F4F70" w:rsidP="006F4F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82309"/>
    <w:rsid w:val="006F4F70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4F7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LXXI/891/22 z dnia 28 listopada 2022 r.</dc:title>
  <dc:subject>w sprawie wysokości stawek podatku od nieruchomości na terenie miasta Bytomia</dc:subject>
  <dc:creator>asteuer</dc:creator>
  <cp:lastModifiedBy>asteuer</cp:lastModifiedBy>
  <cp:revision>2</cp:revision>
  <dcterms:created xsi:type="dcterms:W3CDTF">2022-11-30T10:59:00Z</dcterms:created>
  <dcterms:modified xsi:type="dcterms:W3CDTF">2022-11-30T10:59:00Z</dcterms:modified>
  <cp:category>Akt prawny</cp:category>
</cp:coreProperties>
</file>