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C79" w:rsidRDefault="00527C79" w:rsidP="00527C79">
      <w:pPr>
        <w:pStyle w:val="Tytu"/>
        <w:spacing w:before="120"/>
        <w:ind w:left="0" w:firstLine="0"/>
        <w:divId w:val="39979353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LXVIII SESJI</w:t>
      </w:r>
    </w:p>
    <w:p w:rsidR="00527C79" w:rsidRDefault="00527C79" w:rsidP="00527C79">
      <w:pPr>
        <w:spacing w:before="120"/>
        <w:ind w:left="284" w:hanging="284"/>
        <w:jc w:val="center"/>
        <w:divId w:val="399793531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527C79" w:rsidRDefault="00527C79" w:rsidP="00527C79">
      <w:pPr>
        <w:spacing w:after="480"/>
        <w:jc w:val="center"/>
        <w:divId w:val="399793531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18 PAŹDZIERNIKA  2022 ROKU godz. 08.00</w:t>
      </w:r>
    </w:p>
    <w:p w:rsidR="00527C79" w:rsidRDefault="00527C79">
      <w:pPr>
        <w:divId w:val="399793531"/>
        <w:rPr>
          <w:rFonts w:ascii="Arial" w:eastAsia="Times New Roman" w:hAnsi="Arial" w:cs="Arial"/>
        </w:rPr>
      </w:pPr>
    </w:p>
    <w:p w:rsidR="00527C79" w:rsidRDefault="00527C79" w:rsidP="00527C79">
      <w:pPr>
        <w:spacing w:before="120"/>
        <w:divId w:val="399793531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Na podstawie </w:t>
      </w:r>
      <w:r>
        <w:rPr>
          <w:rFonts w:ascii="Arial" w:hAnsi="Arial" w:cs="Arial"/>
        </w:rPr>
        <w:t xml:space="preserve">art. 15 </w:t>
      </w:r>
      <w:proofErr w:type="spellStart"/>
      <w:r>
        <w:rPr>
          <w:rFonts w:ascii="Arial" w:hAnsi="Arial" w:cs="Arial"/>
        </w:rPr>
        <w:t>zzx</w:t>
      </w:r>
      <w:proofErr w:type="spellEnd"/>
      <w:r>
        <w:rPr>
          <w:rFonts w:ascii="Arial" w:hAnsi="Arial" w:cs="Arial"/>
        </w:rPr>
        <w:t xml:space="preserve"> ustawy z dnia 02 marca 2020 r. o szczególnych rozwiązaniach związanych z zapobieganiem, przeciwdziałaniem i zwalczaniem COVID-19, innych chorób zakaźnych oraz wywołanych nimi sytuacji kryzysowych (Dz. U. z 2021 r. poz. 2095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 obrady odbędą się w trybie zdalnym z wykorzystaniem środków porozumiewania się na odległość.</w:t>
      </w:r>
    </w:p>
    <w:p w:rsidR="00527C79" w:rsidRDefault="00527C79">
      <w:pPr>
        <w:divId w:val="399793531"/>
        <w:rPr>
          <w:rFonts w:ascii="Arial" w:eastAsia="Times New Roman" w:hAnsi="Arial" w:cs="Arial"/>
        </w:rPr>
      </w:pPr>
    </w:p>
    <w:p w:rsidR="004B4C18" w:rsidRDefault="00F66C83">
      <w:pPr>
        <w:divId w:val="39979353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1. Otwarcie posiedzenia.</w:t>
      </w:r>
    </w:p>
    <w:p w:rsidR="004B4C18" w:rsidRDefault="00F66C83">
      <w:pPr>
        <w:divId w:val="3940125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2. Wnioski do porządku obrad.</w:t>
      </w:r>
    </w:p>
    <w:p w:rsidR="004B4C18" w:rsidRDefault="00F66C83" w:rsidP="00527C79">
      <w:pPr>
        <w:ind w:left="284" w:hanging="284"/>
        <w:divId w:val="142260722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3. Podjęcie uchwały zmieniającej uchwałę budżetową miasta Bytomia na 2022 rok (R-883).</w:t>
      </w:r>
    </w:p>
    <w:p w:rsidR="00F66C83" w:rsidRDefault="00F66C83">
      <w:pPr>
        <w:divId w:val="50221113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4. Zakończenie obrad.</w:t>
      </w:r>
    </w:p>
    <w:p w:rsidR="00527C79" w:rsidRDefault="00527C79">
      <w:pPr>
        <w:divId w:val="502211132"/>
        <w:rPr>
          <w:rFonts w:ascii="Arial" w:eastAsia="Times New Roman" w:hAnsi="Arial" w:cs="Arial"/>
        </w:rPr>
      </w:pPr>
    </w:p>
    <w:p w:rsidR="00527C79" w:rsidRDefault="00527C79">
      <w:pPr>
        <w:divId w:val="50221113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14 października 2022r</w:t>
      </w:r>
    </w:p>
    <w:sectPr w:rsidR="00527C79" w:rsidSect="004B4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0E5587"/>
    <w:rsid w:val="000E5587"/>
    <w:rsid w:val="004B4C18"/>
    <w:rsid w:val="00527C79"/>
    <w:rsid w:val="00F66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C18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B4C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4B4C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4C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4C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527C79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527C79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75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407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46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6998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337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0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84024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563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dcterms:created xsi:type="dcterms:W3CDTF">2022-10-14T11:38:00Z</dcterms:created>
  <dcterms:modified xsi:type="dcterms:W3CDTF">2022-10-14T11:38:00Z</dcterms:modified>
</cp:coreProperties>
</file>