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LXVII/869/22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26 września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3794),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 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 v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v)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wypłaty dodatku węglowego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dodatku węglowym;”.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CellMar>
          <w:top w:w="0" w:type="dxa"/>
          <w:left w:w="0" w:type="dxa"/>
          <w:bottom w:w="0" w:type="dxa"/>
          <w:right w:w="0" w:type="dxa"/>
        </w:tblCellMar>
      </w:tblPr>
      <w:tblGrid>
        <w:gridCol w:w="4933"/>
        <w:gridCol w:w="4933"/>
      </w:tblGrid>
      <w:tr>
        <w:tblPrEx>
          <w:tblW w:w="5000" w:type="pct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Michał Staniszewski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Bytomiu, jest wynikiem powierzenia Ośrodkowi prowadzenia spraw dotyczących wypłaty dodatku węglowego na podstawie ustawy z dnia 5 sierpnia 2022 r. o dodatku węglowym (Dz. U. z 2022 r. poz. 1692).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55542517-5715-4A32-8202-4276C5322040.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55542517-5715-4A32-8202-4276C5322040.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0" w:type="dxa"/>
            <w:bottom w:w="0" w:type="dxa"/>
            <w:right w:w="0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LXVII/869/22 z dnia 26 września 2022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2022-09-28T11:17:21Z</dcterms:created>
  <dcterms:modified xsi:type="dcterms:W3CDTF">2022-09-28T11:17:21Z</dcterms:modified>
  <cp:category>Akt prawny</cp:category>
</cp:coreProperties>
</file>