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LXVII/861/22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września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pokrycia przez Miasto Bytom części straty netto Szpitala Specjalistycznego Nr 1 w Bytomiu, za 2020 r.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633,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Postanawia się pokryć część straty netto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przy ul. Żeromskiego 7, za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1.000.000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59 ust. 2 ustawy z dnia 15 kwietnia 2011 r. o działalności leczniczej (Dz. U. z 2022 r. poz. 633, z późn. zm.), podmiot tworzący samodzielny publiczny zakład opieki zdrowotnej może pokryć stratę netto za rok obrotowy tego zakładu w kwocie, jaka nie może być pokryta przez zakład we własnym zakresie w sposób określony w art. 57 ust. 2 pkt 1 ww. ustawy, tj. poprzez zmniejszenie Funduszu spzoz, jednak nie wyższej niż suma straty netto za rok obrotowy i kosztów amortyzacji.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ze sprawozdaniem finansowym Szpitala Specjalistycznego Nr 1 w Bytomiu, przy ul. Żeromskiego 7, za 2020 r., poddanym badaniu przez niezależnego biegłego rewidenta, udokumentowanym sprawozdaniem i opinią z dnia 30 kwietnia 2021 r. oraz zatwierdzonym przez Prezydenta Bytomia w dniu 30 czerwca 2021 r., Szpital poniósł stratę netto w wysokości - 12.873.021,29 zł, która po dodaniu kosztów amortyzacji w wysokości 2.210.473,67 zł, zamyka się kwotą -10.662.547,62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Biorąc pod uwagę powyższe, zasadnym jest podjęcie działań mających na celu przekazanie do Szpitala środków finansowych, w kwocie 1.000.000 zł, na pokrycie części straty netto za 2020 rok. Nadmienia się, iż uchwałą nr L/660/21 Rady Miejskiej w Bytomiu z dnia 25 października 2021 r., uchwałą nr LII/701/21 Rady Miejskiej w Bytomiu z dnia 20 grudnia 2021 r. oraz uchwałą nr LXII/812/22 Rady Miejskiej w Bytomiu z dnia 20 czerwca 2022 r. przeznaczono już na pokrycie części straty netto za 2020 rok kwotę w łącznej wysokości 6.300.000 zł.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C52549C6-5A03-492F-B74D-686D2F249380.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C52549C6-5A03-492F-B74D-686D2F249380.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LXVII/861/22 z dnia 26 września 2022 r.</dc:title>
  <dc:subject>w sprawie pokrycia przez Miasto Bytom części straty netto Szpitala Specjalistycznego^Nr^1^w^Bytomiu, za 2020^r.</dc:subject>
  <dc:creator>masocha</dc:creator>
  <cp:lastModifiedBy>masocha</cp:lastModifiedBy>
  <cp:revision>1</cp:revision>
  <dcterms:created xsi:type="dcterms:W3CDTF">2022-09-28T11:07:34Z</dcterms:created>
  <dcterms:modified xsi:type="dcterms:W3CDTF">2022-09-28T11:07:34Z</dcterms:modified>
  <cp:category>Akt prawny</cp:category>
</cp:coreProperties>
</file>