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LXV/859/22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LI/688/21 w sprawie oddelegowania przedstawicieli Rady Miejskiej w Bytomiu do składu Bytomskiej Rady Działalności Pożytku Publicznego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19,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Statutu Miasta Bytomia stanowiącego załącznik do uchwały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6458),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załącznika do uchwały nr XLVI/636/21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trybu powoływania członków oraz organizacji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trybu działania Bytomskiej Rady Działalności Pożytku Publicznego uchwala się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Wybiera się radną Joannę Stępień na przedstawiciela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składu Bytomskiej Rady Działalności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LXIII/842/22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2022r zmieniającą uchwałę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LI/668/21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oddelegowania przedstawicieli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do składu Bytomskiej Rady Działalności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załącznika do uchwały XLVI/636/21 Rady Miejskiej w Bytomiu z dnia 30 sierpnia 2021 r. w sprawie określenia trybu powoływania członków oraz organizacji i trybu działania Bytomskiej Rady Działalności Pożytku Publicznego w Bytomiu, Rada liczy 12 członków, a w jej skład wchodzi m.in. dwóch przedstawicieli Rady Miejskiej w Bytomiu. Kadencja Bytomskiej Rady Działalności Pożytku Publicznego trwa 3 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pisemną rezygnacją z pełnionej funkcji radnego Michała Staniszewskiego, Komisja Dialogu Społecznego i Spraw Regulaminowych Rady Miejskiej w Bytomiu na posiedzeniu w dniu 21 lipca 2022 r. dokonała wyboru kandydata na przedstawiciela Rady Miejskiej w Bytomiu Bytomskiej Rady Działalności Pożytku Publicznego w Bytomiu w osobie radnej Joanny Stępień.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25 lipca 2022 roku Rada Miejska podjęła uchwałę, jednak z uwagi na błąd w jej tytule, koniecznym jest ponowne jej uchwalenie.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Dialogu Społecznego i Spraw Regulaminowych Rady Miejskiej w Bytomiu wnosi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EAC2F58A-DA4E-413F-9F40-2073CD4E7C62.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EAC2F58A-DA4E-413F-9F40-2073CD4E7C62.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LXV/859/22 z dnia 29 sierpnia 2022 r.</dc:title>
  <dc:subject>zmieniająca uchwałę nr LI/688/21 w^sprawie oddelegowania przedstawicieli Rady Miejskiej w^Bytomiu do składu Bytomskiej Rady Działalności Pożytku Publicznego</dc:subject>
  <dc:creator>masocha</dc:creator>
  <cp:lastModifiedBy>masocha</cp:lastModifiedBy>
  <cp:revision>1</cp:revision>
  <dcterms:created xsi:type="dcterms:W3CDTF">2022-08-31T09:01:17Z</dcterms:created>
  <dcterms:modified xsi:type="dcterms:W3CDTF">2022-08-31T09:01:17Z</dcterms:modified>
  <cp:category>Akt prawny</cp:category>
</cp:coreProperties>
</file>