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LXV/854/22</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40" w:lineRule="auto"/>
        <w:ind w:left="0"/>
        <w:jc w:val="center"/>
        <w:rPr>
          <w:rFonts w:ascii="Arial" w:eastAsia="Arial" w:hAnsi="Arial" w:cs="Arial"/>
          <w:b/>
          <w:caps/>
          <w:sz w:val="24"/>
        </w:rPr>
      </w:pPr>
      <w:r>
        <w:rPr>
          <w:rFonts w:ascii="Arial" w:eastAsia="Arial" w:hAnsi="Arial" w:cs="Arial"/>
          <w:b w:val="0"/>
          <w:caps w:val="0"/>
          <w:sz w:val="24"/>
        </w:rPr>
        <w:t>z dnia 29 sierpnia 2022 r.</w:t>
      </w:r>
    </w:p>
    <w:p w:rsidR="00A77B3E">
      <w:pPr>
        <w:keepNext/>
        <w:spacing w:before="0" w:after="480" w:line="240"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poparcia działań zmierzających do zrzeczenia się przez Prezydenta Bytomia w całości odszkodowania za nieruchomości gminne, które stały się własnością Skarbu Państwa z przeznaczeniem na realizację inwestycji drogowej pn.: „Rozbudowa układu drogowego ul. Żołnierskiej, ul. Tadeusza Kościuszki i ul. Jana Gutenberga w celu skomunikowania obiektu handlowo-usługowego przy ul. Żołnierskiej w Bytomiu położonego na działkach 1283/200, 1285/200, 1287/200, 1848/200, 1849/200 (obręb 0008 Górniki)”</w:t>
      </w:r>
    </w:p>
    <w:p w:rsidR="00A77B3E">
      <w:pPr>
        <w:keepNext w:val="0"/>
        <w:keepLines/>
        <w:spacing w:before="120" w:after="120" w:line="240"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art.18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1990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559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uchwala się, co następuje:</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Popiera się działania Prezydenta Bytomia zmierzające do zrealizowania uprawnień wynikających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12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7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10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kwietnia 2003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szczególnych zasadach przygotowania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realizacji inwestycji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zakresie dróg publicznych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176), polegających na zrzeczeniu się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całości odszkodowania należnego gminie Bytom od</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Skarbu Państwa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tytułu przejęcia do zasobu nieruchomości Skarbu Państwa, na</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podstawie decyzji Prezydenta Miasta Bytomia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kwietnia 2022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nr 113/2022 (AAB.6740.40.2022)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zezwoleniu na realizację inwestycji drogowej pn.: „Rozbudowa układu drogowego ul. Żołnierskiej, ul. Tadeusza Kościuszki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ul. Jana Gutenberga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celu skomunikowania obiektu handlowo-usługowego przy ul. Żołnierskiej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położonego na działkach 1283/200, 1285/200, 1287/200, 1848/200, 1849/200 (obręb 0008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Górniki)” za</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prawo własności działek gruntu nr:</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1) </w:t>
      </w:r>
      <w:r>
        <w:rPr>
          <w:rFonts w:ascii="Arial" w:eastAsia="Arial" w:hAnsi="Arial" w:cs="Arial"/>
          <w:b w:val="0"/>
          <w:caps w:val="0"/>
          <w:strike w:val="0"/>
          <w:color w:val="auto"/>
          <w:sz w:val="24"/>
          <w:u w:val="none"/>
        </w:rPr>
        <w:t>1387/208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pow. 0,0005 ha (obręb Górniki, k. m. 6);</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2) </w:t>
      </w:r>
      <w:r>
        <w:rPr>
          <w:rFonts w:ascii="Arial" w:eastAsia="Arial" w:hAnsi="Arial" w:cs="Arial"/>
          <w:b w:val="0"/>
          <w:caps w:val="0"/>
          <w:strike w:val="0"/>
          <w:color w:val="auto"/>
          <w:sz w:val="24"/>
          <w:u w:val="none"/>
        </w:rPr>
        <w:t>1389/208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pow. 0,0075 ha (obręb Górniki, k. m. 6);</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3) </w:t>
      </w:r>
      <w:r>
        <w:rPr>
          <w:rFonts w:ascii="Arial" w:eastAsia="Arial" w:hAnsi="Arial" w:cs="Arial"/>
          <w:b w:val="0"/>
          <w:caps w:val="0"/>
          <w:strike w:val="0"/>
          <w:color w:val="auto"/>
          <w:sz w:val="24"/>
          <w:u w:val="none"/>
        </w:rPr>
        <w:t>1385/206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pow. 0,0021 ha (obręb Górniki, k. m. 6);</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4) </w:t>
      </w:r>
      <w:r>
        <w:rPr>
          <w:rFonts w:ascii="Arial" w:eastAsia="Arial" w:hAnsi="Arial" w:cs="Arial"/>
          <w:b w:val="0"/>
          <w:caps w:val="0"/>
          <w:strike w:val="0"/>
          <w:color w:val="auto"/>
          <w:sz w:val="24"/>
          <w:u w:val="none"/>
        </w:rPr>
        <w:t>1391/209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pow. 0,0013 ha (obręb Górniki, k. m. 6);</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5) </w:t>
      </w:r>
      <w:r>
        <w:rPr>
          <w:rFonts w:ascii="Arial" w:eastAsia="Arial" w:hAnsi="Arial" w:cs="Arial"/>
          <w:b w:val="0"/>
          <w:caps w:val="0"/>
          <w:strike w:val="0"/>
          <w:color w:val="auto"/>
          <w:sz w:val="24"/>
          <w:u w:val="none"/>
        </w:rPr>
        <w:t>1282/200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pow. 0,0038 ha (obręb Górniki, k. m. 6);</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6) </w:t>
      </w:r>
      <w:r>
        <w:rPr>
          <w:rFonts w:ascii="Arial" w:eastAsia="Arial" w:hAnsi="Arial" w:cs="Arial"/>
          <w:b w:val="0"/>
          <w:caps w:val="0"/>
          <w:strike w:val="0"/>
          <w:color w:val="auto"/>
          <w:sz w:val="24"/>
          <w:u w:val="none"/>
        </w:rPr>
        <w:t>1284/200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pow. 0,0042 ha (obręb Górniki, k. m. 6);</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7) </w:t>
      </w:r>
      <w:r>
        <w:rPr>
          <w:rFonts w:ascii="Arial" w:eastAsia="Arial" w:hAnsi="Arial" w:cs="Arial"/>
          <w:b w:val="0"/>
          <w:caps w:val="0"/>
          <w:strike w:val="0"/>
          <w:color w:val="auto"/>
          <w:sz w:val="24"/>
          <w:u w:val="none"/>
        </w:rPr>
        <w:t>1286/200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pow. 0,0042 ha (obręb Górniki, k. m. 6);</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8) </w:t>
      </w:r>
      <w:r>
        <w:rPr>
          <w:rFonts w:ascii="Arial" w:eastAsia="Arial" w:hAnsi="Arial" w:cs="Arial"/>
          <w:b w:val="0"/>
          <w:caps w:val="0"/>
          <w:strike w:val="0"/>
          <w:color w:val="auto"/>
          <w:sz w:val="24"/>
          <w:u w:val="none"/>
        </w:rPr>
        <w:t>1377/197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pow. 0,0080 ha (obręb Górniki, k. m. 6);</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9) </w:t>
      </w:r>
      <w:r>
        <w:rPr>
          <w:rFonts w:ascii="Arial" w:eastAsia="Arial" w:hAnsi="Arial" w:cs="Arial"/>
          <w:b w:val="0"/>
          <w:caps w:val="0"/>
          <w:strike w:val="0"/>
          <w:color w:val="auto"/>
          <w:sz w:val="24"/>
          <w:u w:val="none"/>
        </w:rPr>
        <w:t>1381/201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pow. 0,0123 ha (obręb Górniki, k. m. 6);</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10) </w:t>
      </w:r>
      <w:r>
        <w:rPr>
          <w:rFonts w:ascii="Arial" w:eastAsia="Arial" w:hAnsi="Arial" w:cs="Arial"/>
          <w:b w:val="0"/>
          <w:caps w:val="0"/>
          <w:strike w:val="0"/>
          <w:color w:val="auto"/>
          <w:sz w:val="24"/>
          <w:u w:val="none"/>
        </w:rPr>
        <w:t>1290/200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pow. 0,0133 ha (obręb Górniki, k. m. 6);</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11) </w:t>
      </w:r>
      <w:r>
        <w:rPr>
          <w:rFonts w:ascii="Arial" w:eastAsia="Arial" w:hAnsi="Arial" w:cs="Arial"/>
          <w:b w:val="0"/>
          <w:caps w:val="0"/>
          <w:strike w:val="0"/>
          <w:color w:val="auto"/>
          <w:sz w:val="24"/>
          <w:u w:val="none"/>
        </w:rPr>
        <w:t>1288/200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pow. 0,0129 ha (obręb Górniki, k. m. 6);</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12) </w:t>
      </w:r>
      <w:r>
        <w:rPr>
          <w:rFonts w:ascii="Arial" w:eastAsia="Arial" w:hAnsi="Arial" w:cs="Arial"/>
          <w:b w:val="0"/>
          <w:caps w:val="0"/>
          <w:strike w:val="0"/>
          <w:color w:val="auto"/>
          <w:sz w:val="24"/>
          <w:u w:val="none"/>
        </w:rPr>
        <w:t>1860/207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pow. 0,0040 ha (obręb Górniki, k. m. 6);</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13) </w:t>
      </w:r>
      <w:r>
        <w:rPr>
          <w:rFonts w:ascii="Arial" w:eastAsia="Arial" w:hAnsi="Arial" w:cs="Arial"/>
          <w:b w:val="0"/>
          <w:caps w:val="0"/>
          <w:strike w:val="0"/>
          <w:color w:val="auto"/>
          <w:sz w:val="24"/>
          <w:u w:val="none"/>
        </w:rPr>
        <w:t>1862/206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pow. 0,0013 ha (obręb Górniki, k. m. 6).</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Wykonanie uchwały powierza się Prezydentowi Miasta.</w:t>
      </w:r>
    </w:p>
    <w:p w:rsidR="00A77B3E">
      <w:pPr>
        <w:keepNext/>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3. </w:t>
      </w:r>
      <w:r>
        <w:rPr>
          <w:rFonts w:ascii="Arial" w:eastAsia="Arial" w:hAnsi="Arial" w:cs="Arial"/>
          <w:b w:val="0"/>
          <w:caps w:val="0"/>
          <w:strike w:val="0"/>
          <w:color w:val="auto"/>
          <w:sz w:val="24"/>
          <w:u w:val="none"/>
        </w:rPr>
        <w:t>Uchwała wchodzi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życie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dniem podjęcia.</w:t>
      </w:r>
    </w:p>
    <w:p w:rsidR="00A77B3E">
      <w:pPr>
        <w:keepNext/>
        <w:keepLines/>
        <w:spacing w:before="120" w:after="120" w:line="240" w:lineRule="auto"/>
        <w:ind w:left="0" w:right="0" w:firstLine="340"/>
        <w:jc w:val="left"/>
        <w:rPr>
          <w:rFonts w:ascii="Arial" w:eastAsia="Arial" w:hAnsi="Arial" w:cs="Arial"/>
          <w:b w:val="0"/>
          <w:caps w:val="0"/>
          <w:strike w:val="0"/>
          <w:color w:val="auto"/>
          <w:sz w:val="24"/>
          <w:u w:val="none"/>
        </w:rPr>
      </w:pPr>
    </w:p>
    <w:p w:rsidR="00A77B3E">
      <w:pPr>
        <w:keepNext/>
        <w:spacing w:before="0" w:after="0"/>
        <w:rPr>
          <w:rFonts w:ascii="Arial" w:eastAsia="Arial" w:hAnsi="Arial" w:cs="Arial"/>
          <w:b w:val="0"/>
          <w:i w:val="0"/>
          <w:caps w:val="0"/>
          <w:strike w:val="0"/>
          <w:color w:val="auto"/>
          <w:sz w:val="24"/>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Arial" w:eastAsia="Arial" w:hAnsi="Arial" w:cs="Arial"/>
                <w:b w:val="0"/>
                <w:bCs w:val="0"/>
                <w:i w:val="0"/>
                <w:iCs w:val="0"/>
                <w:smallCaps w:val="0"/>
                <w:color w:val="000000"/>
                <w:sz w:val="24"/>
              </w:rPr>
            </w:pPr>
          </w:p>
        </w:tc>
        <w:tc>
          <w:tcPr>
            <w:tcW w:w="2500" w:type="pct"/>
            <w:noWrap w:val="0"/>
            <w:tcMar>
              <w:top w:w="0" w:type="dxa"/>
              <w:left w:w="0" w:type="dxa"/>
              <w:bottom w:w="0" w:type="dxa"/>
              <w:right w:w="0" w:type="dxa"/>
            </w:tcMar>
            <w:vAlign w:val="top"/>
            <w:hideMark/>
          </w:tcPr>
          <w:p>
            <w:pPr>
              <w:keepNext/>
              <w:keepLines/>
              <w:spacing w:before="100" w:after="40"/>
              <w:ind w:left="1134" w:right="1134" w:firstLine="0"/>
              <w:jc w:val="center"/>
              <w:rPr>
                <w:rFonts w:ascii="Arial" w:eastAsia="Arial" w:hAnsi="Arial" w:cs="Arial"/>
                <w:b w:val="0"/>
                <w:bCs w:val="0"/>
                <w:i w:val="0"/>
                <w:iCs w:val="0"/>
                <w:smallCaps w:val="0"/>
                <w:color w:val="000000"/>
                <w:sz w:val="24"/>
              </w:rPr>
            </w:pPr>
            <w:r>
              <w:rPr>
                <w:rFonts w:ascii="Arial" w:eastAsia="Arial" w:hAnsi="Arial" w:cs="Arial"/>
                <w:b w:val="0"/>
                <w:bCs w:val="0"/>
                <w:i w:val="0"/>
                <w:iCs w:val="0"/>
                <w:smallCaps w:val="0"/>
                <w:color w:val="000000"/>
                <w:sz w:val="24"/>
              </w:rPr>
              <w:t>Przewodniczący Rady Miejskiej</w:t>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b/>
                <w:i w:val="0"/>
              </w:rPr>
              <w:t>Michał Staniszewski</w:t>
            </w:r>
          </w:p>
        </w:tc>
      </w:tr>
    </w:tbl>
    <w:p w:rsidR="00A77B3E">
      <w:pPr>
        <w:keepNext/>
        <w:spacing w:before="0" w:after="0"/>
        <w:rPr>
          <w:rFonts w:ascii="Arial" w:eastAsia="Arial" w:hAnsi="Arial" w:cs="Arial"/>
          <w:b w:val="0"/>
          <w:i w:val="0"/>
          <w:caps w:val="0"/>
          <w:strike w:val="0"/>
          <w:color w:val="auto"/>
          <w:sz w:val="24"/>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W związku z decyzją Prezydenta Miasta Bytomia z dnia 28 kwietnia 2022 r. nr 113/2022 (AAB.6740.40.2022) o zezwoleniu na realizację inwestycji drogowej pn. „Rozbudowa układu drogowego ul. Żołnierskiej, ul. Tadeusza Kościuszki i ul. Jana Gutenberga w celu skomunikowania obiektu handlowo-usługowego przy ul. Żołnierskiej w Bytomiu położonego na działkach 1283/200, 1285/200, 1287/200, 1848/200, 1849/200 (obręb 0008 Górniki)”</w:t>
      </w:r>
      <w:r>
        <w:rPr>
          <w:rFonts w:eastAsia="Times New Roman" w:cs="Times New Roman"/>
          <w:szCs w:val="20"/>
        </w:rPr>
        <w:t xml:space="preserve"> </w:t>
      </w:r>
      <w:r>
        <w:rPr>
          <w:rFonts w:eastAsia="Times New Roman" w:cs="Times New Roman"/>
          <w:szCs w:val="20"/>
        </w:rPr>
        <w:t>gminie Bytom należy się odszkodowanie. Jest ono należne, gdyż na podstawie wymienionej decyzji prawo własności  nieruchomości należących do gminy, a przeznaczonych pod budowę dróg, przenoszone jest z gminy na rzecz Skarbu Państwa w formie wywłaszczenia.</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W sytuacji, gdy wywłaszczona nieruchomość przeznaczona jest pod budowę drogi krajowej, jej zarządcą z mocy prawa staje się prezydent. W takim przypadku, to również prezydent zobowiązany jest do wypłaty odszkodowania gminie reprezentowanej przez tego prezydenta miasta. Jego obowiązkiem jest również zapłata podatku VAT (od towarów i usług) na rzecz Skarbu Państwa. W istocie gmina ponosi ciężar zapłaty podatku, nie uzyskując dochodów za wywłaszczoną nieruchomość. Dlatego powołując się na art. 12</w:t>
      </w:r>
      <w:r>
        <w:rPr>
          <w:rFonts w:eastAsia="Times New Roman" w:cs="Times New Roman"/>
          <w:szCs w:val="20"/>
        </w:rPr>
        <w:t xml:space="preserve"> </w:t>
      </w:r>
      <w:r>
        <w:rPr>
          <w:rFonts w:eastAsia="Times New Roman" w:cs="Times New Roman"/>
          <w:szCs w:val="20"/>
        </w:rPr>
        <w:t>ust. 7</w:t>
      </w:r>
      <w:r>
        <w:rPr>
          <w:rFonts w:eastAsia="Times New Roman" w:cs="Times New Roman"/>
          <w:szCs w:val="20"/>
        </w:rPr>
        <w:t xml:space="preserve"> </w:t>
      </w:r>
      <w:r>
        <w:rPr>
          <w:rFonts w:eastAsia="Times New Roman" w:cs="Times New Roman"/>
          <w:szCs w:val="20"/>
        </w:rPr>
        <w:t>ustawy o szczególnych zasadach przygotowania i realizacji inwestycji w zakresie dróg publicznych, zgodnie z którym istnieje możliwość zrzeczenia się w całości lub części odszkodowania za nieruchomości, które z mocy prawa stały się własnością odpowiednich jednostek samorządu terytorialnego, bądź  Skarbu Państwa, jeżeli przemawia za tym interes społeczny lub gospodarczy, postanawia się skorzystać z uprawnienia wynikającego z tego przepisu. W przedmiotowym przypadku, za zrzeczeniem się odszkodowania przemawia interes publiczny oraz gospodarczy tj. dbałość o finanse jednostki samorządu terytorialnego. Bowiem brak zrzeczenia się odszkodowania powodować będzie szkodę majątkową po stronie gminy Bytom. Stosowne oświadczenie złoży Prezydent, natomiast niniejszą uchwałą Rada Miejska popiera działania zmierzające do dokonania takiej czynności.</w:t>
      </w: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77A57271-CE56-4753-A208-997CE710B2AC.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77A57271-CE56-4753-A208-997CE710B2AC.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LXV/854/22 z dnia 29 sierpnia 2022 r.</dc:title>
  <dc:subject>w sprawie poparcia działań zmierzających do zrzeczenia się przez Prezydenta Bytomia w^całości odszkodowania za nieruchomości gminne, które stały się własnością Skarbu Państwa z^przeznaczeniem na realizację inwestycji drogowej pn.: „Rozbudowa układu drogowego ul. Żołnierskiej, ul. Tadeusza Kościuszki i^ul. Jana Gutenberga w^celu skomunikowania obiektu handlowo-usługowego przy ul. Żołnierskiej w^Bytomiu położonego na działkach 1283/200, 1285/200, 1287/200, 1848/200, 1849/200 (obręb 0008^Górniki)”</dc:subject>
  <dc:creator>masocha</dc:creator>
  <cp:lastModifiedBy>masocha</cp:lastModifiedBy>
  <cp:revision>1</cp:revision>
  <dcterms:created xsi:type="dcterms:W3CDTF">2022-08-31T08:58:28Z</dcterms:created>
  <dcterms:modified xsi:type="dcterms:W3CDTF">2022-08-31T08:58:28Z</dcterms:modified>
  <cp:category>Akt prawny</cp:category>
</cp:coreProperties>
</file>