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CA4642">
      <w:pPr>
        <w:jc w:val="center"/>
        <w:rPr>
          <w:b/>
          <w:caps/>
        </w:rPr>
      </w:pPr>
      <w:r>
        <w:rPr>
          <w:b/>
          <w:caps/>
        </w:rPr>
        <w:t>Uchwała Nr ....................</w:t>
      </w:r>
      <w:r>
        <w:rPr>
          <w:b/>
          <w:caps/>
        </w:rPr>
        <w:br/>
        <w:t>Rady Miejskiej w Bytomiu</w:t>
      </w:r>
    </w:p>
    <w:p w:rsidR="00A77B3E" w:rsidRDefault="00CA4642">
      <w:pPr>
        <w:spacing w:before="280" w:after="280"/>
        <w:jc w:val="center"/>
        <w:rPr>
          <w:b/>
          <w:caps/>
        </w:rPr>
      </w:pPr>
      <w:r>
        <w:t>z dnia .................... 2022 r.</w:t>
      </w:r>
    </w:p>
    <w:p w:rsidR="00A77B3E" w:rsidRDefault="00CA4642">
      <w:pPr>
        <w:keepNext/>
        <w:spacing w:after="480"/>
        <w:jc w:val="center"/>
      </w:pPr>
      <w:r>
        <w:rPr>
          <w:b/>
        </w:rPr>
        <w:t>w sprawie poparcia działań zmierzających do zrzeczenia się przez Prezydenta Bytomia w całości odszkodowania za nieruchomości gminne, które stały się własnością Skarbu Państwa z przeznaczeniem na realizację inwestycji drogowej pn.: „Rozbudowa układu drogowego ul. Żołnierskiej, ul. Tadeusza Kościuszki i ul. Jana Gutenberga w celu skomunikowania obiektu handlowo-usługowego przy ul. Żołnierskiej w Bytomiu położonego na działkach 1283/200, 1285/200, 1287/200, 1848/200, 1849/200 (obręb 0008 Górniki) ”</w:t>
      </w:r>
    </w:p>
    <w:p w:rsidR="00A77B3E" w:rsidRDefault="00CA4642">
      <w:pPr>
        <w:keepLines/>
        <w:spacing w:before="120" w:after="120"/>
        <w:ind w:firstLine="227"/>
      </w:pPr>
      <w:r>
        <w:t>Na podstawie art.18 ust. 1 ustawy z dnia 8 marca 1990 r. o samorządzie gminnym (Dz. U. z 2022 r. poz. 559 z późn. zm.) uchwala się, co następuje:</w:t>
      </w:r>
    </w:p>
    <w:p w:rsidR="00A77B3E" w:rsidRDefault="00CA4642">
      <w:pPr>
        <w:keepLines/>
        <w:spacing w:before="120" w:after="120"/>
        <w:ind w:firstLine="340"/>
      </w:pPr>
      <w:r>
        <w:rPr>
          <w:b/>
        </w:rPr>
        <w:t>§ 1. </w:t>
      </w:r>
      <w:r>
        <w:t>Popiera się działania Prezydenta Bytomia zmierzające do zrealizowania uprawnień wynikających z art.12 ust. 7 ustawy z dnia 10 kwietnia 2003 r. o szczególnych zasadach przygotowania i realizacji inwestycji w zakresie dróg publicznych (Dz. U. z 2022 r. poz. 176), polegających na zrzeczeniu się w całości odszkodowania należnego gminie Bytom od Skarbu Państwa z tytułu przejęcia do zasobu nieruchomości Skarbu Państwa, na podstawie decyzji Prezydenta Miasta Bytomia z dnia  28 kwietnia 2022 r. nr 113/2022 (AAB.6740.40.2022) o zezwoleniu na realizację inwestycji drogowej pn.: „Rozbudowa układu drogowego ul. Żołnierskiej, ul. Tadeusza Kościuszki i ul. Jana Gutenberga w celu skomunikowania obiektu handlowo-usługowego przy ul. Żołnierskiej w Bytomiu położonego na działkach 1283/200, 1285/200, 1287/200, 1848/200, 1849/200 (obręb 0008 Górniki).” za prawo własności  działek gruntu nr:</w:t>
      </w:r>
    </w:p>
    <w:p w:rsidR="00A77B3E" w:rsidRDefault="00CA4642">
      <w:pPr>
        <w:spacing w:before="120" w:after="120"/>
        <w:ind w:left="340" w:hanging="227"/>
      </w:pPr>
      <w:r>
        <w:t>1) 1387/208 o pow. 0,0005 ha (obręb Górniki, k. m. 6);</w:t>
      </w:r>
    </w:p>
    <w:p w:rsidR="00A77B3E" w:rsidRDefault="00CA4642">
      <w:pPr>
        <w:spacing w:before="120" w:after="120"/>
        <w:ind w:left="340" w:hanging="227"/>
      </w:pPr>
      <w:r>
        <w:t>2) 1389/208 o pow. 0,0075 ha (obręb Górniki, k. m. 6);</w:t>
      </w:r>
    </w:p>
    <w:p w:rsidR="00A77B3E" w:rsidRDefault="00CA4642">
      <w:pPr>
        <w:spacing w:before="120" w:after="120"/>
        <w:ind w:left="340" w:hanging="227"/>
      </w:pPr>
      <w:r>
        <w:t>3) 1385/206 o pow. 0,0021 ha (obręb Górniki, k. m. 6);</w:t>
      </w:r>
    </w:p>
    <w:p w:rsidR="00A77B3E" w:rsidRDefault="00CA4642">
      <w:pPr>
        <w:spacing w:before="120" w:after="120"/>
        <w:ind w:left="340" w:hanging="227"/>
      </w:pPr>
      <w:r>
        <w:t>4) 1391/209 o pow. 0,0013 ha (obręb Górniki, k. m. 6);</w:t>
      </w:r>
    </w:p>
    <w:p w:rsidR="00A77B3E" w:rsidRDefault="00CA4642">
      <w:pPr>
        <w:spacing w:before="120" w:after="120"/>
        <w:ind w:left="340" w:hanging="227"/>
      </w:pPr>
      <w:r>
        <w:t>5) 1282/200 o pow. 0,0038 ha (obręb Górniki, k. m. 6);</w:t>
      </w:r>
    </w:p>
    <w:p w:rsidR="00A77B3E" w:rsidRDefault="00CA4642">
      <w:pPr>
        <w:spacing w:before="120" w:after="120"/>
        <w:ind w:left="340" w:hanging="227"/>
      </w:pPr>
      <w:r>
        <w:t>6) 1284/200 o pow. 0,0042 ha (obręb Górniki, k. m. 6);</w:t>
      </w:r>
    </w:p>
    <w:p w:rsidR="00A77B3E" w:rsidRDefault="00CA4642">
      <w:pPr>
        <w:spacing w:before="120" w:after="120"/>
        <w:ind w:left="340" w:hanging="227"/>
      </w:pPr>
      <w:r>
        <w:t>7) 1286/200 o pow. 0,0042 ha (obręb Górniki, k. m. 6);</w:t>
      </w:r>
    </w:p>
    <w:p w:rsidR="00A77B3E" w:rsidRDefault="00CA4642">
      <w:pPr>
        <w:spacing w:before="120" w:after="120"/>
        <w:ind w:left="340" w:hanging="227"/>
      </w:pPr>
      <w:r>
        <w:t>8) 1377/197 o pow. 0,0080 ha (obręb Górniki, k. m. 6);</w:t>
      </w:r>
    </w:p>
    <w:p w:rsidR="00A77B3E" w:rsidRDefault="00CA4642">
      <w:pPr>
        <w:spacing w:before="120" w:after="120"/>
        <w:ind w:left="340" w:hanging="227"/>
      </w:pPr>
      <w:r>
        <w:t>9) 1381/201 o pow. 0,0123 ha (obręb Górniki, k. m. 6);</w:t>
      </w:r>
    </w:p>
    <w:p w:rsidR="00A77B3E" w:rsidRDefault="00CA4642">
      <w:pPr>
        <w:spacing w:before="120" w:after="120"/>
        <w:ind w:left="340" w:hanging="227"/>
      </w:pPr>
      <w:r>
        <w:t>10) 1290/200 o pow. 0,0133 ha (obręb Górniki, k. m. 6);</w:t>
      </w:r>
    </w:p>
    <w:p w:rsidR="00A77B3E" w:rsidRDefault="00CA4642">
      <w:pPr>
        <w:spacing w:before="120" w:after="120"/>
        <w:ind w:left="340" w:hanging="227"/>
      </w:pPr>
      <w:r>
        <w:t>11) 1288/200 o pow. 0,0129 ha (obręb Górniki, k. m. 6);</w:t>
      </w:r>
    </w:p>
    <w:p w:rsidR="00A77B3E" w:rsidRDefault="00CA4642">
      <w:pPr>
        <w:spacing w:before="120" w:after="120"/>
        <w:ind w:left="340" w:hanging="227"/>
      </w:pPr>
      <w:r>
        <w:t>12) 1860/207 o pow. 0,0040 ha (obręb Górniki, k. m. 6);</w:t>
      </w:r>
    </w:p>
    <w:p w:rsidR="00A77B3E" w:rsidRDefault="00CA4642">
      <w:pPr>
        <w:spacing w:before="120" w:after="120"/>
        <w:ind w:left="340" w:hanging="227"/>
      </w:pPr>
      <w:r>
        <w:t>13) 1862/206 o pow. 0,0013 ha (obręb Górniki, k. m. 6).</w:t>
      </w:r>
    </w:p>
    <w:p w:rsidR="00A77B3E" w:rsidRDefault="00CA4642">
      <w:pPr>
        <w:keepLines/>
        <w:spacing w:before="120" w:after="120"/>
        <w:ind w:firstLine="340"/>
      </w:pPr>
      <w:r>
        <w:rPr>
          <w:b/>
        </w:rPr>
        <w:t>§ 2. </w:t>
      </w:r>
      <w:r>
        <w:t>Wykonanie uchwały powierza się Prezydentowi Miasta.</w:t>
      </w:r>
    </w:p>
    <w:p w:rsidR="00A77B3E" w:rsidRDefault="00CA4642">
      <w:pPr>
        <w:keepLines/>
        <w:spacing w:before="120" w:after="120"/>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t>Uchwała wchodzi w życie z dniem podjęcia.</w:t>
      </w:r>
    </w:p>
    <w:p w:rsidR="004F7AC0" w:rsidRDefault="004F7AC0">
      <w:pPr>
        <w:rPr>
          <w:rFonts w:eastAsia="Times New Roman" w:cs="Times New Roman"/>
          <w:szCs w:val="20"/>
        </w:rPr>
      </w:pPr>
    </w:p>
    <w:p w:rsidR="004F7AC0" w:rsidRDefault="00CA4642">
      <w:pPr>
        <w:jc w:val="center"/>
        <w:rPr>
          <w:rFonts w:eastAsia="Times New Roman" w:cs="Times New Roman"/>
          <w:szCs w:val="20"/>
        </w:rPr>
      </w:pPr>
      <w:r>
        <w:rPr>
          <w:rFonts w:eastAsia="Times New Roman" w:cs="Times New Roman"/>
          <w:caps/>
          <w:szCs w:val="20"/>
        </w:rPr>
        <w:t>Uzasadnienie</w:t>
      </w:r>
    </w:p>
    <w:p w:rsidR="004F7AC0" w:rsidRDefault="00CA4642">
      <w:pPr>
        <w:spacing w:before="120" w:after="120"/>
        <w:ind w:firstLine="227"/>
        <w:rPr>
          <w:rFonts w:eastAsia="Times New Roman" w:cs="Times New Roman"/>
          <w:szCs w:val="20"/>
        </w:rPr>
      </w:pPr>
      <w:r>
        <w:rPr>
          <w:rFonts w:eastAsia="Times New Roman" w:cs="Times New Roman"/>
          <w:szCs w:val="20"/>
        </w:rPr>
        <w:t>W związku z decyzją Prezydenta Miasta Bytomia z dnia 28 kwietnia 2022 r. nr 113/2022 (AAB.6740.40.2022) o zezwoleniu na realizację inwestycji drogowej pn. „Rozbudowa układu drogowego ul. Żołnierskiej, ul. Tadeusza Kościuszki i ul. Jana Gutenberga w celu skomunikowania obiektu handlowo-usługowego przy ul. Żołnierskiej w Bytomiu położonego na działkach 1283/200, 1285/200, 1287/200, 1848/200, 1849/200 (obręb 0008 Górniki)”</w:t>
      </w:r>
      <w:r>
        <w:rPr>
          <w:rFonts w:eastAsia="Times New Roman" w:cs="Times New Roman"/>
          <w:szCs w:val="20"/>
        </w:rPr>
        <w:br/>
        <w:t>gminie Bytom należy się odszkodowanie. Jest ono należne, gdyż na podstawie wymienionej decyzji prawo własności  nieruchomości należących do gminy, a przeznaczonych pod budowę dróg, przenoszone jest z gminy na rzecz Skarbu Państwa w formie wywłaszczenia.</w:t>
      </w:r>
    </w:p>
    <w:p w:rsidR="004F7AC0" w:rsidRDefault="00CA4642">
      <w:pPr>
        <w:spacing w:before="120" w:after="120"/>
        <w:ind w:firstLine="227"/>
        <w:rPr>
          <w:rFonts w:eastAsia="Times New Roman" w:cs="Times New Roman"/>
          <w:szCs w:val="20"/>
        </w:rPr>
      </w:pPr>
      <w:r>
        <w:rPr>
          <w:rFonts w:eastAsia="Times New Roman" w:cs="Times New Roman"/>
          <w:szCs w:val="20"/>
        </w:rPr>
        <w:t>W sytuacji, gdy wywłaszczona nieruchomość przeznaczona jest pod budowę drogi krajowej,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bądź  Skarbu Państwa,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rsidR="004F7AC0" w:rsidSect="004F7AC0">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81F" w:rsidRDefault="0088081F" w:rsidP="004F7AC0">
      <w:r>
        <w:separator/>
      </w:r>
    </w:p>
  </w:endnote>
  <w:endnote w:type="continuationSeparator" w:id="0">
    <w:p w:rsidR="0088081F" w:rsidRDefault="0088081F" w:rsidP="004F7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F7AC0">
      <w:tc>
        <w:tcPr>
          <w:tcW w:w="6577" w:type="dxa"/>
          <w:tcBorders>
            <w:top w:val="single" w:sz="4" w:space="0" w:color="auto"/>
            <w:left w:val="nil"/>
            <w:bottom w:val="nil"/>
            <w:right w:val="nil"/>
          </w:tcBorders>
          <w:tcMar>
            <w:top w:w="100" w:type="dxa"/>
          </w:tcMar>
        </w:tcPr>
        <w:p w:rsidR="004F7AC0" w:rsidRDefault="00CA4642">
          <w:pPr>
            <w:rPr>
              <w:sz w:val="18"/>
            </w:rPr>
          </w:pPr>
          <w:r>
            <w:rPr>
              <w:sz w:val="18"/>
            </w:rPr>
            <w:t>Id: FD91F36C-15CC-4B54-90A9-EC2D102475BC. Projekt</w:t>
          </w:r>
        </w:p>
      </w:tc>
      <w:tc>
        <w:tcPr>
          <w:tcW w:w="3289" w:type="dxa"/>
          <w:tcBorders>
            <w:top w:val="single" w:sz="4" w:space="0" w:color="auto"/>
            <w:left w:val="nil"/>
            <w:bottom w:val="nil"/>
            <w:right w:val="nil"/>
          </w:tcBorders>
          <w:tcMar>
            <w:top w:w="100" w:type="dxa"/>
          </w:tcMar>
        </w:tcPr>
        <w:p w:rsidR="004F7AC0" w:rsidRDefault="00CA4642">
          <w:pPr>
            <w:jc w:val="right"/>
            <w:rPr>
              <w:sz w:val="18"/>
            </w:rPr>
          </w:pPr>
          <w:r>
            <w:rPr>
              <w:sz w:val="18"/>
            </w:rPr>
            <w:t xml:space="preserve">Strona </w:t>
          </w:r>
          <w:r w:rsidR="00D6719E">
            <w:rPr>
              <w:sz w:val="18"/>
            </w:rPr>
            <w:fldChar w:fldCharType="begin"/>
          </w:r>
          <w:r>
            <w:rPr>
              <w:sz w:val="18"/>
            </w:rPr>
            <w:instrText>PAGE</w:instrText>
          </w:r>
          <w:r w:rsidR="00D6719E">
            <w:rPr>
              <w:sz w:val="18"/>
            </w:rPr>
            <w:fldChar w:fldCharType="separate"/>
          </w:r>
          <w:r w:rsidR="00D2277E">
            <w:rPr>
              <w:noProof/>
              <w:sz w:val="18"/>
            </w:rPr>
            <w:t>1</w:t>
          </w:r>
          <w:r w:rsidR="00D6719E">
            <w:rPr>
              <w:sz w:val="18"/>
            </w:rPr>
            <w:fldChar w:fldCharType="end"/>
          </w:r>
        </w:p>
      </w:tc>
    </w:tr>
  </w:tbl>
  <w:p w:rsidR="004F7AC0" w:rsidRDefault="004F7AC0">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F7AC0">
      <w:tc>
        <w:tcPr>
          <w:tcW w:w="6577" w:type="dxa"/>
          <w:tcBorders>
            <w:top w:val="single" w:sz="4" w:space="0" w:color="auto"/>
            <w:left w:val="nil"/>
            <w:bottom w:val="nil"/>
            <w:right w:val="nil"/>
          </w:tcBorders>
          <w:tcMar>
            <w:top w:w="100" w:type="dxa"/>
          </w:tcMar>
        </w:tcPr>
        <w:p w:rsidR="004F7AC0" w:rsidRDefault="00CA4642">
          <w:pPr>
            <w:rPr>
              <w:sz w:val="18"/>
            </w:rPr>
          </w:pPr>
          <w:r>
            <w:rPr>
              <w:sz w:val="18"/>
            </w:rPr>
            <w:t>Id: FD91F36C-15CC-4B54-90A9-EC2D102475BC. Projekt</w:t>
          </w:r>
        </w:p>
      </w:tc>
      <w:tc>
        <w:tcPr>
          <w:tcW w:w="3289" w:type="dxa"/>
          <w:tcBorders>
            <w:top w:val="single" w:sz="4" w:space="0" w:color="auto"/>
            <w:left w:val="nil"/>
            <w:bottom w:val="nil"/>
            <w:right w:val="nil"/>
          </w:tcBorders>
          <w:tcMar>
            <w:top w:w="100" w:type="dxa"/>
          </w:tcMar>
        </w:tcPr>
        <w:p w:rsidR="004F7AC0" w:rsidRDefault="00CA4642">
          <w:pPr>
            <w:jc w:val="right"/>
            <w:rPr>
              <w:sz w:val="18"/>
            </w:rPr>
          </w:pPr>
          <w:r>
            <w:rPr>
              <w:sz w:val="18"/>
            </w:rPr>
            <w:t xml:space="preserve">Strona </w:t>
          </w:r>
          <w:r w:rsidR="00D6719E">
            <w:rPr>
              <w:sz w:val="18"/>
            </w:rPr>
            <w:fldChar w:fldCharType="begin"/>
          </w:r>
          <w:r>
            <w:rPr>
              <w:sz w:val="18"/>
            </w:rPr>
            <w:instrText>PAGE</w:instrText>
          </w:r>
          <w:r w:rsidR="00D6719E">
            <w:rPr>
              <w:sz w:val="18"/>
            </w:rPr>
            <w:fldChar w:fldCharType="separate"/>
          </w:r>
          <w:r w:rsidR="00D2277E">
            <w:rPr>
              <w:noProof/>
              <w:sz w:val="18"/>
            </w:rPr>
            <w:t>2</w:t>
          </w:r>
          <w:r w:rsidR="00D6719E">
            <w:rPr>
              <w:sz w:val="18"/>
            </w:rPr>
            <w:fldChar w:fldCharType="end"/>
          </w:r>
        </w:p>
      </w:tc>
    </w:tr>
  </w:tbl>
  <w:p w:rsidR="004F7AC0" w:rsidRDefault="004F7AC0">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81F" w:rsidRDefault="0088081F" w:rsidP="004F7AC0">
      <w:r>
        <w:separator/>
      </w:r>
    </w:p>
  </w:footnote>
  <w:footnote w:type="continuationSeparator" w:id="0">
    <w:p w:rsidR="0088081F" w:rsidRDefault="0088081F" w:rsidP="004F7A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367EA"/>
    <w:rsid w:val="004F7AC0"/>
    <w:rsid w:val="0088081F"/>
    <w:rsid w:val="00A77B3E"/>
    <w:rsid w:val="00CA2A55"/>
    <w:rsid w:val="00CA4642"/>
    <w:rsid w:val="00D2277E"/>
    <w:rsid w:val="00D671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F7AC0"/>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3852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poparcia działań zmierzających do zrzeczenia się przez Prezydenta Bytomia w^całości odszkodowania za nieruchomości gminne, które stały się własnością Skarbu Państwa z^przeznaczeniem na realizację inwestycji drogowej pn.: „Rozbudowa układu drogowego ul. Żołnierskiej, ul. Tadeusza Kościuszki i^ul. Jana Gutenberga w^celu skomunikowania obiektu handlowo-usługowego przy ul. Żołnierskiej w^Bytomiu położonego na działkach 1283/200, 1285/200, 1287/200, 1848/200, 1849/200 (obręb 0008^Górniki) ”</dc:subject>
  <dc:creator>ajazlowiecka</dc:creator>
  <cp:lastModifiedBy>Jadwiga Kopica</cp:lastModifiedBy>
  <cp:revision>2</cp:revision>
  <dcterms:created xsi:type="dcterms:W3CDTF">2022-08-22T05:46:00Z</dcterms:created>
  <dcterms:modified xsi:type="dcterms:W3CDTF">2022-08-22T05:46:00Z</dcterms:modified>
  <cp:category>Akt prawny</cp:category>
</cp:coreProperties>
</file>