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 2022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rozpatrzenia i zatwierdzenia sprawozdania finansowego oraz sprawozdania z wykonania budżetu Miasta Bytomia za 2021 rok</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559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528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270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305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Zatwierdza się sprawozdanie finansowe Miasta Bytomia za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 przedłożone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formie:</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bilansu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wykonania budżetu jednostki samorządu terytorialnego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łącznego bilansu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łącznego rachunku zysków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strat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łącznego zestawienia zmian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funduszu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informacji dodatkowej obejmującej dane wynikające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informacji dodatkowych miejskich jednostek budżetowych.</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Zatwierdza się sprawozdanie roczne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wykonania budżetu miasta na prawach powiatu za 2021rok.</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100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465"/>
        </w:trPr>
        <w:tc>
          <w:tcPr>
            <w:tcW w:w="10080" w:type="dxa"/>
            <w:tcBorders>
              <w:top w:val="nil"/>
              <w:left w:val="nil"/>
              <w:bottom w:val="nil"/>
              <w:right w:val="nil"/>
            </w:tcBorders>
            <w:noWrap w:val="0"/>
            <w:tcMar>
              <w:top w:w="100" w:type="dxa"/>
            </w:tcMar>
            <w:textDirection w:val="lrTb"/>
            <w:vAlign w:val="bottom"/>
          </w:tcPr>
          <w:p w:rsidR="00A77B3E">
            <w:pPr>
              <w:spacing w:before="0" w:after="0"/>
              <w:jc w:val="left"/>
              <w:rPr>
                <w:rFonts w:ascii="Arial" w:eastAsia="Arial" w:hAnsi="Arial" w:cs="Arial"/>
                <w:b w:val="0"/>
                <w:i w:val="0"/>
                <w:caps w:val="0"/>
                <w:strike w:val="0"/>
                <w:color w:val="auto"/>
                <w:sz w:val="24"/>
                <w:u w:val="none"/>
                <w:vertAlign w:val="baseline"/>
              </w:rPr>
            </w:pPr>
            <w:r>
              <w:rPr>
                <w:sz w:val="16"/>
              </w:rPr>
              <w:t>Oprac.: A. Tkaczyk</w:t>
            </w:r>
          </w:p>
        </w:tc>
      </w:tr>
      <w:tr>
        <w:tblPrEx>
          <w:tblW w:w="5000" w:type="pct"/>
          <w:tblLayout w:type="fixed"/>
          <w:tblCellMar>
            <w:left w:w="108" w:type="dxa"/>
            <w:right w:w="108" w:type="dxa"/>
          </w:tblCellMar>
        </w:tblPrEx>
        <w:trPr>
          <w:trHeight w:hRule="auto" w:val="0"/>
        </w:trPr>
        <w:tc>
          <w:tcPr>
            <w:tcW w:w="10080" w:type="dxa"/>
            <w:tcBorders>
              <w:top w:val="nil"/>
              <w:left w:val="nil"/>
              <w:bottom w:val="nil"/>
              <w:right w:val="nil"/>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auto"/>
                <w:sz w:val="24"/>
                <w:u w:val="none"/>
                <w:vertAlign w:val="baseline"/>
              </w:rPr>
            </w:pPr>
            <w:r>
              <w:rPr>
                <w:sz w:val="16"/>
              </w:rPr>
              <w:t>31 maja 2022 r.</w:t>
            </w:r>
          </w:p>
        </w:tc>
      </w:tr>
    </w:tbl>
    <w:p w:rsidR="00A77B3E">
      <w:pPr>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Stosownie do art. 270 ust. 4 ustawy z dnia 27 sierpnia 2009 r. o finansach publicznych organ stanowiący jednostki samorządu terytorialnego rozpatruje i zatwierdza sprawozdanie finansowe wraz ze sprawozdaniem z wykonania budżetu, w terminie do dnia 30 czerwca roku następującego po roku budżetowym. </w:t>
      </w:r>
      <w:r>
        <w:rPr>
          <w:rFonts w:eastAsia="Times New Roman" w:cs="Times New Roman"/>
          <w:szCs w:val="20"/>
        </w:rPr>
        <w:t>Sprawozdanie z wykonania budżetu miasta Bytomia za 202</w:t>
      </w:r>
      <w:r>
        <w:rPr>
          <w:rFonts w:eastAsia="Times New Roman" w:cs="Times New Roman"/>
          <w:szCs w:val="20"/>
        </w:rPr>
        <w:t>1</w:t>
      </w:r>
      <w:r>
        <w:rPr>
          <w:rFonts w:eastAsia="Times New Roman" w:cs="Times New Roman"/>
          <w:szCs w:val="20"/>
        </w:rPr>
        <w:t> rok zostało przedłożone Radzie Miejskiej zarządzeniem nr 1</w:t>
      </w:r>
      <w:r>
        <w:rPr>
          <w:rFonts w:eastAsia="Times New Roman" w:cs="Times New Roman"/>
          <w:szCs w:val="20"/>
        </w:rPr>
        <w:t>44</w:t>
      </w:r>
      <w:r>
        <w:rPr>
          <w:rFonts w:eastAsia="Times New Roman" w:cs="Times New Roman"/>
          <w:szCs w:val="20"/>
        </w:rPr>
        <w:t>/2</w:t>
      </w:r>
      <w:r>
        <w:rPr>
          <w:rFonts w:eastAsia="Times New Roman" w:cs="Times New Roman"/>
          <w:szCs w:val="20"/>
        </w:rPr>
        <w:t>2</w:t>
      </w:r>
      <w:r>
        <w:rPr>
          <w:rFonts w:eastAsia="Times New Roman" w:cs="Times New Roman"/>
          <w:szCs w:val="20"/>
        </w:rPr>
        <w:t xml:space="preserve"> Prezydenta Bytomia z dnia </w:t>
      </w:r>
      <w:r>
        <w:rPr>
          <w:rFonts w:eastAsia="Times New Roman" w:cs="Times New Roman"/>
          <w:szCs w:val="20"/>
        </w:rPr>
        <w:t>11 kwietnia</w:t>
      </w:r>
      <w:r>
        <w:rPr>
          <w:rFonts w:eastAsia="Times New Roman" w:cs="Times New Roman"/>
          <w:szCs w:val="20"/>
        </w:rPr>
        <w:t xml:space="preserve"> 202</w:t>
      </w:r>
      <w:r>
        <w:rPr>
          <w:rFonts w:eastAsia="Times New Roman" w:cs="Times New Roman"/>
          <w:szCs w:val="20"/>
        </w:rPr>
        <w:t>2</w:t>
      </w:r>
      <w:r>
        <w:rPr>
          <w:rFonts w:eastAsia="Times New Roman" w:cs="Times New Roman"/>
          <w:szCs w:val="20"/>
        </w:rPr>
        <w:t> roku. Sprawozdanie to zawiera zestawienie dochodów i wydatków wynikające z zamknięć rachunków budżetu miasta, wykaz jednostek budżetowych gromadzących dochody na wydzielonych rachunkach oraz zestawienie dochodów i wydatków nimi sfinansowanych, a także sprawozdania z wykonania planów finansowych trzech samorządowych instytucji kultury oraz samodzielnego publicznego zakładu opieki zdrowotnej. Sprawozdanie uwzględniło również zmiany w planie wydatków na realizację programów finansowanych z udziałem środków, o których mowa w art. 5</w:t>
      </w:r>
      <w:r>
        <w:rPr>
          <w:rFonts w:eastAsia="Times New Roman" w:cs="Times New Roman"/>
          <w:szCs w:val="20"/>
        </w:rPr>
        <w:t xml:space="preserve"> </w:t>
      </w:r>
      <w:r>
        <w:rPr>
          <w:rFonts w:eastAsia="Times New Roman" w:cs="Times New Roman"/>
          <w:szCs w:val="20"/>
        </w:rPr>
        <w:t>ust. 1</w:t>
      </w:r>
      <w:r>
        <w:rPr>
          <w:rFonts w:eastAsia="Times New Roman" w:cs="Times New Roman"/>
          <w:szCs w:val="20"/>
        </w:rPr>
        <w:t xml:space="preserve"> </w:t>
      </w:r>
      <w:r>
        <w:rPr>
          <w:rFonts w:eastAsia="Times New Roman" w:cs="Times New Roman"/>
          <w:szCs w:val="20"/>
        </w:rPr>
        <w:t>pkt 2 i 3 ustawy o finansach publicznych oraz stopień zaawansowania realizacji programów wieloletnich. Tym samym uwzględnione zostały wszystkie elementy określone w art. 265</w:t>
      </w:r>
      <w:r>
        <w:rPr>
          <w:rFonts w:eastAsia="Times New Roman" w:cs="Times New Roman"/>
          <w:szCs w:val="20"/>
        </w:rPr>
        <w:t xml:space="preserve"> </w:t>
      </w:r>
      <w:r>
        <w:rPr>
          <w:rFonts w:eastAsia="Times New Roman" w:cs="Times New Roman"/>
          <w:szCs w:val="20"/>
        </w:rPr>
        <w:t>pkt. 2, art. 267 ust. 1 pkt 1 i 2, ust. 2 i 3 oraz w art. 269 ustawy o finansach publicznych, właściwe dla trybu przedkładania i zatwierdzania sprawozdania z wykonania budżetu.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Regionalna Izba Obrachunkowa w Katowicach uchwałą nr 4200/V/7</w:t>
      </w:r>
      <w:r>
        <w:rPr>
          <w:rFonts w:eastAsia="Times New Roman" w:cs="Times New Roman"/>
          <w:szCs w:val="20"/>
        </w:rPr>
        <w:t>2</w:t>
      </w:r>
      <w:r>
        <w:rPr>
          <w:rFonts w:eastAsia="Times New Roman" w:cs="Times New Roman"/>
          <w:szCs w:val="20"/>
        </w:rPr>
        <w:t>/202</w:t>
      </w:r>
      <w:r>
        <w:rPr>
          <w:rFonts w:eastAsia="Times New Roman" w:cs="Times New Roman"/>
          <w:szCs w:val="20"/>
        </w:rPr>
        <w:t>2</w:t>
      </w:r>
      <w:r>
        <w:rPr>
          <w:rFonts w:eastAsia="Times New Roman" w:cs="Times New Roman"/>
          <w:szCs w:val="20"/>
        </w:rPr>
        <w:t xml:space="preserve"> z dnia </w:t>
      </w:r>
      <w:r>
        <w:rPr>
          <w:rFonts w:eastAsia="Times New Roman" w:cs="Times New Roman"/>
          <w:szCs w:val="20"/>
        </w:rPr>
        <w:t>5 maja</w:t>
      </w:r>
      <w:r>
        <w:rPr>
          <w:rFonts w:eastAsia="Times New Roman" w:cs="Times New Roman"/>
          <w:szCs w:val="20"/>
        </w:rPr>
        <w:t xml:space="preserve"> 202</w:t>
      </w:r>
      <w:r>
        <w:rPr>
          <w:rFonts w:eastAsia="Times New Roman" w:cs="Times New Roman"/>
          <w:szCs w:val="20"/>
        </w:rPr>
        <w:t>2</w:t>
      </w:r>
      <w:r>
        <w:rPr>
          <w:rFonts w:eastAsia="Times New Roman" w:cs="Times New Roman"/>
          <w:szCs w:val="20"/>
        </w:rPr>
        <w:t> roku V Składu Orzekającego wydała pozytywną opinię o przedłożonym sprawozdaniu z wykonania budżetu za 202</w:t>
      </w:r>
      <w:r>
        <w:rPr>
          <w:rFonts w:eastAsia="Times New Roman" w:cs="Times New Roman"/>
          <w:szCs w:val="20"/>
        </w:rPr>
        <w:t>1</w:t>
      </w:r>
      <w:r>
        <w:rPr>
          <w:rFonts w:eastAsia="Times New Roman" w:cs="Times New Roman"/>
          <w:szCs w:val="20"/>
        </w:rPr>
        <w:t> rok.</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Ponadto z uwagi na zapis art. 268 ustawy z dnia 27 sierpnia 2009 r. o finansach publicznych określający, iż  sprawozdanie finansowe jednostek samorządu terytorialnego, w których liczba mieszkańców ustalona przez GUS na dzień 31 grudnia roku poprzedzającego rok, za który sporządzone jest sprawozdanie przekracza 150 tysięcy podlega badaniu przez biegłego rewidenta, sprawozdanie to podlegało zewnętrznemu badaniu. Z przedłożonego przez firmę audytorską sprawozdania z badania sprawozdania finansowego Miasta Bytom za 202</w:t>
      </w:r>
      <w:r>
        <w:rPr>
          <w:rFonts w:eastAsia="Times New Roman" w:cs="Times New Roman"/>
          <w:szCs w:val="20"/>
        </w:rPr>
        <w:t>1</w:t>
      </w:r>
      <w:r>
        <w:rPr>
          <w:rFonts w:eastAsia="Times New Roman" w:cs="Times New Roman"/>
          <w:szCs w:val="20"/>
        </w:rPr>
        <w:t> r. wynika, że sprawozdanie finansowe prezentuje rzetelny i jasny obraz sytuacji majątkowej i finansowej Miasta Bytom na dzień 31 grudnia 202</w:t>
      </w:r>
      <w:r>
        <w:rPr>
          <w:rFonts w:eastAsia="Times New Roman" w:cs="Times New Roman"/>
          <w:szCs w:val="20"/>
        </w:rPr>
        <w:t>1</w:t>
      </w:r>
      <w:r>
        <w:rPr>
          <w:rFonts w:eastAsia="Times New Roman" w:cs="Times New Roman"/>
          <w:szCs w:val="20"/>
        </w:rPr>
        <w:t> r., jest zgodne co do formy i treści z obowiązującymi przepisami prawa i statutem Miasta oraz zostało sporządzone na podstawie prawidłowo prowadzonych ksiąg rachunkowych zgodnie z przepisami ustawy o rachunkowości.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Sprawozdanie finansowe za 202</w:t>
      </w:r>
      <w:r>
        <w:rPr>
          <w:rFonts w:eastAsia="Times New Roman" w:cs="Times New Roman"/>
          <w:szCs w:val="20"/>
        </w:rPr>
        <w:t>1</w:t>
      </w:r>
      <w:r>
        <w:rPr>
          <w:rFonts w:eastAsia="Times New Roman" w:cs="Times New Roman"/>
          <w:szCs w:val="20"/>
        </w:rPr>
        <w:t> rok zostało przedłożone Radzie Miejskiej w Bytomiu zarządzeniem nr </w:t>
      </w:r>
      <w:r>
        <w:rPr>
          <w:rFonts w:eastAsia="Times New Roman" w:cs="Times New Roman"/>
          <w:szCs w:val="20"/>
        </w:rPr>
        <w:t>208/22</w:t>
      </w:r>
      <w:r>
        <w:rPr>
          <w:rFonts w:eastAsia="Times New Roman" w:cs="Times New Roman"/>
          <w:szCs w:val="20"/>
        </w:rPr>
        <w:t xml:space="preserve"> Prezydenta Bytomia z dnia </w:t>
      </w:r>
      <w:r>
        <w:rPr>
          <w:rFonts w:eastAsia="Times New Roman" w:cs="Times New Roman"/>
          <w:szCs w:val="20"/>
        </w:rPr>
        <w:t>20 maja</w:t>
      </w:r>
      <w:r>
        <w:rPr>
          <w:rFonts w:eastAsia="Times New Roman" w:cs="Times New Roman"/>
          <w:szCs w:val="20"/>
        </w:rPr>
        <w:t xml:space="preserve"> 202</w:t>
      </w:r>
      <w:r>
        <w:rPr>
          <w:rFonts w:eastAsia="Times New Roman" w:cs="Times New Roman"/>
          <w:szCs w:val="20"/>
        </w:rPr>
        <w:t>2</w:t>
      </w:r>
      <w:r>
        <w:rPr>
          <w:rFonts w:eastAsia="Times New Roman" w:cs="Times New Roman"/>
          <w:szCs w:val="20"/>
        </w:rPr>
        <w:t> r.</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Sprawozdanie zawiera: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1</w:t>
      </w:r>
      <w:r>
        <w:rPr>
          <w:rFonts w:eastAsia="Times New Roman" w:cs="Times New Roman"/>
          <w:szCs w:val="20"/>
        </w:rPr>
        <w:t>)</w:t>
      </w:r>
      <w:r>
        <w:rPr>
          <w:rFonts w:eastAsia="Times New Roman" w:cs="Times New Roman"/>
          <w:szCs w:val="20"/>
        </w:rPr>
        <w:t xml:space="preserve"> bilans z wykonania budżetu miasta,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2</w:t>
      </w:r>
      <w:r>
        <w:rPr>
          <w:rFonts w:eastAsia="Times New Roman" w:cs="Times New Roman"/>
          <w:szCs w:val="20"/>
        </w:rPr>
        <w:t>)</w:t>
      </w:r>
      <w:r>
        <w:rPr>
          <w:rFonts w:eastAsia="Times New Roman" w:cs="Times New Roman"/>
          <w:szCs w:val="20"/>
        </w:rPr>
        <w:t xml:space="preserve"> łączny bilans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3</w:t>
      </w:r>
      <w:r>
        <w:rPr>
          <w:rFonts w:eastAsia="Times New Roman" w:cs="Times New Roman"/>
          <w:szCs w:val="20"/>
        </w:rPr>
        <w:t>)</w:t>
      </w:r>
      <w:r>
        <w:rPr>
          <w:rFonts w:eastAsia="Times New Roman" w:cs="Times New Roman"/>
          <w:szCs w:val="20"/>
        </w:rPr>
        <w:t xml:space="preserve"> łączny rachunek zysków i strat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4</w:t>
      </w:r>
      <w:r>
        <w:rPr>
          <w:rFonts w:eastAsia="Times New Roman" w:cs="Times New Roman"/>
          <w:szCs w:val="20"/>
        </w:rPr>
        <w:t>)</w:t>
      </w:r>
      <w:r>
        <w:rPr>
          <w:rFonts w:eastAsia="Times New Roman" w:cs="Times New Roman"/>
          <w:szCs w:val="20"/>
        </w:rPr>
        <w:t xml:space="preserve"> łączne zestawienie zmian w funduszu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5</w:t>
      </w:r>
      <w:r>
        <w:rPr>
          <w:rFonts w:eastAsia="Times New Roman" w:cs="Times New Roman"/>
          <w:szCs w:val="20"/>
        </w:rPr>
        <w:t>)</w:t>
      </w:r>
      <w:r>
        <w:rPr>
          <w:rFonts w:eastAsia="Times New Roman" w:cs="Times New Roman"/>
          <w:szCs w:val="20"/>
        </w:rPr>
        <w:t xml:space="preserve"> informację dodatkową obejmującą dane wynikające z informacji dodatkowych miejskich jednostek budżetowych.</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1008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405"/>
        </w:trPr>
        <w:tc>
          <w:tcPr>
            <w:tcW w:w="10080" w:type="dxa"/>
            <w:tcBorders>
              <w:top w:val="nil"/>
              <w:left w:val="nil"/>
              <w:bottom w:val="nil"/>
              <w:right w:val="nil"/>
            </w:tcBorders>
            <w:noWrap w:val="0"/>
            <w:textDirection w:val="lrTb"/>
            <w:vAlign w:val="bottom"/>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 w:val="16"/>
                <w:szCs w:val="20"/>
              </w:rPr>
            </w:pPr>
          </w:p>
        </w:tc>
      </w:tr>
      <w:tr>
        <w:tblPrEx>
          <w:tblW w:w="5000" w:type="pct"/>
          <w:tblLayout w:type="fixed"/>
          <w:tblCellMar>
            <w:left w:w="108" w:type="dxa"/>
            <w:right w:w="108" w:type="dxa"/>
          </w:tblCellMar>
        </w:tblPrEx>
        <w:trPr>
          <w:trHeight w:val="405"/>
        </w:trPr>
        <w:tc>
          <w:tcPr>
            <w:tcW w:w="10080" w:type="dxa"/>
            <w:tcBorders>
              <w:top w:val="nil"/>
              <w:left w:val="nil"/>
              <w:bottom w:val="nil"/>
              <w:right w:val="nil"/>
            </w:tcBorders>
            <w:noWrap w:val="0"/>
            <w:textDirection w:val="lrTb"/>
            <w:vAlign w:val="bottom"/>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 w:val="16"/>
                <w:szCs w:val="20"/>
              </w:rPr>
              <w:t xml:space="preserve">Oprac.: A. </w:t>
            </w:r>
            <w:r>
              <w:rPr>
                <w:rFonts w:eastAsia="Times New Roman" w:cs="Times New Roman"/>
                <w:sz w:val="16"/>
                <w:szCs w:val="20"/>
              </w:rPr>
              <w:t>Tkaczyk</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 w:val="16"/>
                <w:szCs w:val="20"/>
              </w:rPr>
              <w:t>31 maja</w:t>
            </w:r>
            <w:r>
              <w:rPr>
                <w:rFonts w:eastAsia="Times New Roman" w:cs="Times New Roman"/>
                <w:sz w:val="16"/>
                <w:szCs w:val="20"/>
              </w:rPr>
              <w:t xml:space="preserve"> 2021 r.</w:t>
            </w:r>
          </w:p>
        </w:tc>
      </w:tr>
    </w:tbl>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B9D5F3DB-14DB-44D4-98B3-D2713AF4C54F. Projekt</w:t>
          </w:r>
        </w:p>
      </w:tc>
      <w:tc>
        <w:tcPr>
          <w:tcW w:w="3289" w:type="dxa"/>
          <w:tcBorders>
            <w:top w:val="single" w:sz="2"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B9D5F3DB-14DB-44D4-98B3-D2713AF4C54F. Projekt</w:t>
          </w:r>
        </w:p>
      </w:tc>
      <w:tc>
        <w:tcPr>
          <w:tcW w:w="3289" w:type="dxa"/>
          <w:tcBorders>
            <w:top w:val="single" w:sz="2"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rozpatrzenia i^zatwierdzenia sprawozdania finansowego oraz sprawozdania z^wykonania budżetu Miasta Bytomia za 2021^rok</dc:subject>
  <dc:creator>sstylec</dc:creator>
  <cp:lastModifiedBy>sstylec</cp:lastModifiedBy>
  <cp:revision>1</cp:revision>
  <dcterms:created xsi:type="dcterms:W3CDTF">2022-06-03T10:18:50Z</dcterms:created>
  <dcterms:modified xsi:type="dcterms:W3CDTF">2022-06-03T10:18:50Z</dcterms:modified>
  <cp:category>Akt prawny</cp:category>
</cp:coreProperties>
</file>