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21.11.0 -->
  <w:body>
    <w:p w:rsidR="00A77B3E">
      <w:pPr>
        <w:spacing w:line="240" w:lineRule="auto"/>
        <w:ind w:left="0"/>
        <w:jc w:val="center"/>
        <w:rPr>
          <w:rFonts w:ascii="Arial" w:eastAsia="Arial" w:hAnsi="Arial" w:cs="Arial"/>
          <w:b/>
          <w:caps/>
          <w:sz w:val="24"/>
        </w:rPr>
      </w:pPr>
      <w:r>
        <w:rPr>
          <w:rFonts w:ascii="Arial" w:eastAsia="Arial" w:hAnsi="Arial" w:cs="Arial"/>
          <w:b/>
          <w:caps/>
          <w:sz w:val="24"/>
        </w:rPr>
        <w:t>Uchwała</w:t>
      </w:r>
      <w:r>
        <w:rPr>
          <w:rFonts w:ascii="Arial" w:eastAsia="Arial" w:hAnsi="Arial" w:cs="Arial"/>
          <w:b/>
          <w:caps/>
          <w:sz w:val="24"/>
        </w:rPr>
        <w:t xml:space="preserve"> Nr LXI/794/22</w:t>
      </w:r>
      <w:r>
        <w:rPr>
          <w:rFonts w:ascii="Arial" w:eastAsia="Arial" w:hAnsi="Arial" w:cs="Arial"/>
          <w:b/>
          <w:caps/>
          <w:sz w:val="24"/>
        </w:rPr>
        <w:br/>
      </w:r>
      <w:r>
        <w:rPr>
          <w:rFonts w:ascii="Arial" w:eastAsia="Arial" w:hAnsi="Arial" w:cs="Arial"/>
          <w:b/>
          <w:caps/>
          <w:sz w:val="24"/>
        </w:rPr>
        <w:t>Rady Miejskiej w Bytomiu</w:t>
      </w:r>
    </w:p>
    <w:p w:rsidR="00A77B3E">
      <w:pPr>
        <w:spacing w:before="280" w:after="280" w:line="240" w:lineRule="auto"/>
        <w:ind w:left="0"/>
        <w:jc w:val="center"/>
        <w:rPr>
          <w:rFonts w:ascii="Arial" w:eastAsia="Arial" w:hAnsi="Arial" w:cs="Arial"/>
          <w:b/>
          <w:caps/>
          <w:sz w:val="24"/>
        </w:rPr>
      </w:pPr>
      <w:r>
        <w:rPr>
          <w:rFonts w:ascii="Arial" w:eastAsia="Arial" w:hAnsi="Arial" w:cs="Arial"/>
          <w:b w:val="0"/>
          <w:caps w:val="0"/>
          <w:sz w:val="24"/>
        </w:rPr>
        <w:t>z dnia 30 maja 2022 r.</w:t>
      </w:r>
    </w:p>
    <w:p w:rsidR="00A77B3E">
      <w:pPr>
        <w:keepNext/>
        <w:spacing w:before="0" w:after="480" w:line="240" w:lineRule="auto"/>
        <w:ind w:left="0" w:right="0" w:firstLine="0"/>
        <w:jc w:val="center"/>
        <w:rPr>
          <w:rFonts w:ascii="Arial" w:eastAsia="Arial" w:hAnsi="Arial" w:cs="Arial"/>
          <w:b w:val="0"/>
          <w:caps w:val="0"/>
          <w:strike w:val="0"/>
          <w:color w:val="auto"/>
          <w:sz w:val="24"/>
          <w:u w:val="none"/>
        </w:rPr>
      </w:pPr>
      <w:r>
        <w:rPr>
          <w:rFonts w:ascii="Arial" w:eastAsia="Arial" w:hAnsi="Arial" w:cs="Arial"/>
          <w:b/>
          <w:caps w:val="0"/>
          <w:sz w:val="24"/>
        </w:rPr>
        <w:t>w sprawie wystosowania wniosku do Najwyższej Izby Kontroli o przeprowadzenie kompleksowej kontroli Bytomskiego Przedsiębiorstwa Komunalnego oraz nadzoru właścicielskiego nad tą Spółką</w:t>
      </w:r>
    </w:p>
    <w:p w:rsidR="00A77B3E">
      <w:pPr>
        <w:keepNext w:val="0"/>
        <w:keepLines/>
        <w:spacing w:before="120" w:after="120" w:line="240" w:lineRule="auto"/>
        <w:ind w:left="0" w:right="0" w:firstLine="227"/>
        <w:jc w:val="left"/>
        <w:rPr>
          <w:rFonts w:ascii="Arial" w:eastAsia="Arial" w:hAnsi="Arial" w:cs="Arial"/>
          <w:b w:val="0"/>
          <w:caps w:val="0"/>
          <w:strike w:val="0"/>
          <w:color w:val="auto"/>
          <w:sz w:val="24"/>
          <w:u w:val="none"/>
        </w:rPr>
      </w:pPr>
      <w:r>
        <w:rPr>
          <w:rFonts w:ascii="Arial" w:eastAsia="Arial" w:hAnsi="Arial" w:cs="Arial"/>
          <w:b w:val="0"/>
          <w:caps w:val="0"/>
          <w:strike w:val="0"/>
          <w:color w:val="auto"/>
          <w:sz w:val="24"/>
          <w:u w:val="none"/>
        </w:rPr>
        <w:t>Na podstawie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6</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oraz art.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18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pkt</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ustawy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dnia 8</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marca 1990</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samorządzie gminnym (Dz.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U. z</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2022</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r. poz 559) uchwala się, co następuje:</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1. </w:t>
      </w:r>
      <w:r>
        <w:rPr>
          <w:rFonts w:ascii="Arial" w:eastAsia="Arial" w:hAnsi="Arial" w:cs="Arial"/>
          <w:b w:val="0"/>
          <w:caps w:val="0"/>
          <w:strike w:val="0"/>
          <w:color w:val="auto"/>
          <w:sz w:val="24"/>
          <w:u w:val="none"/>
        </w:rPr>
        <w:t>Wnioskuje się do Prezydenta Miasta Bytomia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złożenie wniosku do Najwyższej Izby Kontroli o</w:t>
      </w:r>
      <w:r>
        <w:rPr>
          <w:rFonts w:ascii="Arial" w:eastAsia="Arial" w:hAnsi="Arial" w:cs="Arial"/>
          <w:b w:val="0"/>
          <w:caps w:val="0"/>
          <w:strike w:val="0"/>
          <w:color w:val="auto"/>
          <w:sz w:val="24"/>
          <w:u w:val="none"/>
        </w:rPr>
        <w:t> </w:t>
      </w:r>
      <w:r>
        <w:rPr>
          <w:rFonts w:ascii="Arial" w:eastAsia="Arial" w:hAnsi="Arial" w:cs="Arial"/>
          <w:b w:val="0"/>
          <w:caps w:val="0"/>
          <w:strike w:val="0"/>
          <w:color w:val="auto"/>
          <w:sz w:val="24"/>
          <w:u w:val="none"/>
        </w:rPr>
        <w:t>przeprowadzenie kompleksowej kontroli Bytomskiego Przedsiębiorstwa Komunalnego oraz nadzoru właścicielskiego nad tą Spółką.</w:t>
      </w:r>
    </w:p>
    <w:p w:rsidR="00A77B3E">
      <w:pPr>
        <w:keepNext w:val="0"/>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2. </w:t>
      </w:r>
      <w:r>
        <w:rPr>
          <w:rFonts w:ascii="Arial" w:eastAsia="Arial" w:hAnsi="Arial" w:cs="Arial"/>
          <w:b w:val="0"/>
          <w:caps w:val="0"/>
          <w:strike w:val="0"/>
          <w:color w:val="auto"/>
          <w:sz w:val="24"/>
          <w:u w:val="none"/>
        </w:rPr>
        <w:t>Wykonanie uchwały powierza się Prezydentowi Miasta.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r>
        <w:rPr>
          <w:rFonts w:ascii="Arial" w:eastAsia="Arial" w:hAnsi="Arial" w:cs="Arial"/>
          <w:b/>
          <w:sz w:val="24"/>
        </w:rPr>
        <w:t>§ 3. </w:t>
      </w:r>
      <w:r>
        <w:rPr>
          <w:rFonts w:ascii="Arial" w:eastAsia="Arial" w:hAnsi="Arial" w:cs="Arial"/>
          <w:b w:val="0"/>
          <w:caps w:val="0"/>
          <w:strike w:val="0"/>
          <w:color w:val="auto"/>
          <w:sz w:val="24"/>
          <w:u w:val="none"/>
        </w:rPr>
        <w:t>Uchwała wchodzi w życie z niem podjęcia.</w:t>
      </w:r>
    </w:p>
    <w:p w:rsidR="00A77B3E">
      <w:pPr>
        <w:keepNext/>
        <w:keepLines/>
        <w:spacing w:before="120" w:after="120" w:line="240" w:lineRule="auto"/>
        <w:ind w:left="0" w:right="0" w:firstLine="340"/>
        <w:jc w:val="left"/>
        <w:rPr>
          <w:rFonts w:ascii="Arial" w:eastAsia="Arial" w:hAnsi="Arial" w:cs="Arial"/>
          <w:b w:val="0"/>
          <w:caps w:val="0"/>
          <w:strike w:val="0"/>
          <w:color w:val="auto"/>
          <w:sz w:val="24"/>
          <w:u w:val="none"/>
        </w:rPr>
      </w:pPr>
    </w:p>
    <w:p w:rsidR="00A77B3E">
      <w:pPr>
        <w:keepNext/>
        <w:spacing w:before="0" w:after="0"/>
        <w:rPr>
          <w:rFonts w:ascii="Arial" w:eastAsia="Arial" w:hAnsi="Arial" w:cs="Arial"/>
          <w:b w:val="0"/>
          <w:i w:val="0"/>
          <w:caps w:val="0"/>
          <w:strike w:val="0"/>
          <w:color w:val="auto"/>
          <w:sz w:val="24"/>
          <w:u w:val="none"/>
          <w:vertAlign w:val="baseline"/>
        </w:rPr>
      </w:pPr>
      <w:r>
        <w:rPr>
          <w:b w:val="0"/>
          <w:i w:val="0"/>
          <w:color w:val="000000"/>
          <w:u w:val="none"/>
          <w:vertAlign w:val="baseline"/>
        </w:rPr>
        <w:t> </w:t>
      </w:r>
    </w:p>
    <w:tbl>
      <w:tblPr>
        <w:tblW w:w="5000" w:type="pct"/>
        <w:tblCellMar>
          <w:top w:w="0" w:type="dxa"/>
          <w:left w:w="0" w:type="dxa"/>
          <w:bottom w:w="0" w:type="dxa"/>
          <w:right w:w="0" w:type="dxa"/>
        </w:tblCellMar>
      </w:tblPr>
      <w:tblGrid>
        <w:gridCol w:w="4933"/>
        <w:gridCol w:w="4933"/>
      </w:tblGrid>
      <w:tr>
        <w:tblPrEx>
          <w:tblW w:w="5000" w:type="pct"/>
          <w:tblCellMar>
            <w:top w:w="0" w:type="dxa"/>
            <w:left w:w="0" w:type="dxa"/>
            <w:bottom w:w="0" w:type="dxa"/>
            <w:right w:w="0" w:type="dxa"/>
          </w:tblCellMar>
        </w:tblPrEx>
        <w:tc>
          <w:tcPr>
            <w:tcW w:w="2500" w:type="pct"/>
            <w:noWrap w:val="0"/>
            <w:tcMar>
              <w:top w:w="0" w:type="dxa"/>
              <w:left w:w="0" w:type="dxa"/>
              <w:bottom w:w="0" w:type="dxa"/>
              <w:right w:w="0" w:type="dxa"/>
            </w:tcMar>
            <w:vAlign w:val="top"/>
            <w:hideMark/>
          </w:tcPr>
          <w:p>
            <w:pPr>
              <w:keepNext/>
              <w:keepLines/>
              <w:jc w:val="left"/>
              <w:rPr>
                <w:rFonts w:ascii="Arial" w:eastAsia="Arial" w:hAnsi="Arial" w:cs="Arial"/>
                <w:b w:val="0"/>
                <w:bCs w:val="0"/>
                <w:i w:val="0"/>
                <w:iCs w:val="0"/>
                <w:smallCaps w:val="0"/>
                <w:color w:val="000000"/>
                <w:sz w:val="24"/>
              </w:rPr>
            </w:pPr>
          </w:p>
        </w:tc>
        <w:tc>
          <w:tcPr>
            <w:tcW w:w="2500" w:type="pct"/>
            <w:noWrap w:val="0"/>
            <w:tcMar>
              <w:top w:w="0" w:type="dxa"/>
              <w:left w:w="0" w:type="dxa"/>
              <w:bottom w:w="0" w:type="dxa"/>
              <w:right w:w="0" w:type="dxa"/>
            </w:tcMar>
            <w:vAlign w:val="top"/>
            <w:hideMark/>
          </w:tcPr>
          <w:p>
            <w:pPr>
              <w:keepNext/>
              <w:keepLines/>
              <w:spacing w:before="100" w:after="40"/>
              <w:ind w:left="1134" w:right="1134" w:firstLine="0"/>
              <w:jc w:val="center"/>
              <w:rPr>
                <w:rFonts w:ascii="Arial" w:eastAsia="Arial" w:hAnsi="Arial" w:cs="Arial"/>
                <w:b w:val="0"/>
                <w:bCs w:val="0"/>
                <w:i w:val="0"/>
                <w:iCs w:val="0"/>
                <w:smallCaps w:val="0"/>
                <w:color w:val="000000"/>
                <w:sz w:val="24"/>
              </w:rPr>
            </w:pPr>
            <w:r>
              <w:rPr>
                <w:rFonts w:ascii="Arial" w:eastAsia="Arial" w:hAnsi="Arial" w:cs="Arial"/>
                <w:b w:val="0"/>
                <w:bCs w:val="0"/>
                <w:i w:val="0"/>
                <w:iCs w:val="0"/>
                <w:smallCaps w:val="0"/>
                <w:color w:val="000000"/>
                <w:sz w:val="24"/>
              </w:rPr>
              <w:t>Przewodniczący Rady Miejskiej</w:t>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rFonts w:ascii="Arial" w:eastAsia="Arial" w:hAnsi="Arial" w:cs="Arial"/>
                <w:b w:val="0"/>
                <w:bCs w:val="0"/>
                <w:i w:val="0"/>
                <w:iCs w:val="0"/>
                <w:smallCaps w:val="0"/>
                <w:color w:val="000000"/>
                <w:sz w:val="24"/>
              </w:rPr>
              <w:br/>
            </w:r>
            <w:r>
              <w:rPr>
                <w:b/>
                <w:i w:val="0"/>
              </w:rPr>
              <w:t>Michał Staniszewski</w:t>
            </w:r>
          </w:p>
        </w:tc>
      </w:tr>
    </w:tbl>
    <w:p w:rsidR="00A77B3E">
      <w:pPr>
        <w:keepNext/>
        <w:spacing w:before="0" w:after="0"/>
        <w:rPr>
          <w:rFonts w:ascii="Arial" w:eastAsia="Arial" w:hAnsi="Arial" w:cs="Arial"/>
          <w:b w:val="0"/>
          <w:i w:val="0"/>
          <w:caps w:val="0"/>
          <w:strike w:val="0"/>
          <w:color w:val="auto"/>
          <w:sz w:val="24"/>
          <w:u w:val="none"/>
          <w:vertAlign w:val="baseline"/>
        </w:rPr>
        <w:sectPr>
          <w:footerReference w:type="default" r:id="rId4"/>
          <w:endnotePr>
            <w:numFmt w:val="decimal"/>
          </w:endnotePr>
          <w:pgSz w:w="11906" w:h="16838"/>
          <w:pgMar w:top="1417" w:right="1020" w:bottom="992" w:left="1020" w:header="708" w:footer="708" w:gutter="0"/>
          <w:cols w:space="708"/>
          <w:docGrid w:linePitch="360"/>
        </w:sectPr>
      </w:pPr>
    </w:p>
    <w:p>
      <w:pPr>
        <w:keepNext w:val="0"/>
        <w:keepLines w:val="0"/>
        <w:widowControl/>
        <w:suppressLineNumbers w:val="0"/>
        <w:shd w:val="clear" w:color="auto" w:fill="auto"/>
        <w:suppressAutoHyphens w:val="0"/>
        <w:spacing w:before="0" w:beforeAutospacing="0" w:after="0" w:afterAutospacing="0" w:line="240" w:lineRule="auto"/>
        <w:ind w:left="0" w:right="0" w:firstLine="0"/>
        <w:contextualSpacing w:val="0"/>
        <w:jc w:val="center"/>
        <w:rPr>
          <w:rFonts w:eastAsia="Times New Roman" w:cs="Times New Roman"/>
          <w:szCs w:val="20"/>
        </w:rPr>
      </w:pPr>
      <w:r>
        <w:rPr>
          <w:rFonts w:eastAsia="Times New Roman" w:cs="Times New Roman"/>
          <w:caps/>
          <w:szCs w:val="20"/>
        </w:rPr>
        <w:t>Uzasadnienie</w:t>
      </w:r>
    </w:p>
    <w:p>
      <w:pPr>
        <w:keepNext w:val="0"/>
        <w:keepLines w:val="0"/>
        <w:widowControl/>
        <w:suppressLineNumbers w:val="0"/>
        <w:shd w:val="clear" w:color="auto" w:fill="auto"/>
        <w:suppressAutoHyphens w:val="0"/>
        <w:spacing w:before="120" w:beforeAutospacing="0" w:after="120" w:afterAutospacing="0" w:line="240" w:lineRule="auto"/>
        <w:ind w:left="0" w:right="0" w:firstLine="227"/>
        <w:contextualSpacing w:val="0"/>
        <w:rPr>
          <w:rFonts w:eastAsia="Times New Roman" w:cs="Times New Roman"/>
          <w:szCs w:val="20"/>
        </w:rPr>
      </w:pPr>
      <w:r>
        <w:rPr>
          <w:rFonts w:eastAsia="Times New Roman" w:cs="Times New Roman"/>
          <w:szCs w:val="20"/>
        </w:rPr>
        <w:t xml:space="preserve">Kontrola miejskiego składowiska przy al. Jana Pawła II 10 w Bytomiu przez Wojewódzkiego Inspektora Ochrony Środowiska jednoznacznie wykazała, że na zarządzanym przez </w:t>
      </w:r>
      <w:r>
        <w:rPr>
          <w:rFonts w:eastAsia="Times New Roman" w:cs="Times New Roman"/>
          <w:szCs w:val="20"/>
        </w:rPr>
        <w:t>B</w:t>
      </w:r>
      <w:r>
        <w:rPr>
          <w:rFonts w:eastAsia="Times New Roman" w:cs="Times New Roman"/>
          <w:szCs w:val="20"/>
        </w:rPr>
        <w:t>ytomskie Przedsiębiorstwo Komunalne składowisku w ostatnich dwóch latach dochodziło do rażących zaniedbań i naruszeń przepisów prawa.</w:t>
      </w:r>
      <w:r>
        <w:rPr>
          <w:rFonts w:eastAsia="Times New Roman" w:cs="Times New Roman"/>
          <w:szCs w:val="20"/>
        </w:rPr>
        <w:t xml:space="preserve"> Raport z kontroli zawiera wiele przerażających wniosków. Na składowisko trafiały odpady, które nigdy nie powinny się tam znaleźć. Ewidentne prowadzenie składowiska niezgodnie ze sztuką groziło pożarem i w konsekwencji katastrofą ekologiczną o ogromnej skali. Istnieje również podejrzenie, że mogło dochodzić do korupcjogennych praktyk, które skutkowały wielomilionowymi stratami dla przedsiębiorstwa. Mając powyższe na uwadze, zasadnym jest przeprowadzenie kompleksowej kontroli przez Najwyższą Izbę Kontroli działalności Bytomskiego Przedsiębiorstwa Komunalnego oraz nadzoru nad tą spółką.</w:t>
      </w:r>
    </w:p>
    <w:sectPr>
      <w:footerReference w:type="default" r:id="rId5"/>
      <w:endnotePr>
        <w:numFmt w:val="decimal"/>
      </w:endnotePr>
      <w:type w:val="nextPage"/>
      <w:pgSz w:w="11906" w:h="16838" w:code="0"/>
      <w:pgMar w:top="1417" w:right="1020" w:bottom="992" w:left="1020" w:header="708" w:footer="708" w:gutter="0"/>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6C302CF7-F9E1-4384-8890-1415D61087CC.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6577"/>
      <w:gridCol w:w="3289"/>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tcW w:w="6577" w:type="dxa"/>
          <w:tcBorders>
            <w:top w:val="single" w:sz="4" w:space="0" w:color="auto"/>
            <w:left w:val="nil"/>
            <w:bottom w:val="nil"/>
            <w:right w:val="nil"/>
          </w:tcBorders>
          <w:noWrap w:val="0"/>
          <w:tcMar>
            <w:top w:w="100" w:type="dxa"/>
            <w:left w:w="0" w:type="dxa"/>
            <w:bottom w:w="0" w:type="dxa"/>
            <w:right w:w="0" w:type="dxa"/>
          </w:tcMar>
          <w:vAlign w:val="top"/>
          <w:hideMark/>
        </w:tcPr>
        <w:p>
          <w:pPr>
            <w:jc w:val="left"/>
            <w:rPr>
              <w:rFonts w:ascii="Arial" w:eastAsia="Arial" w:hAnsi="Arial" w:cs="Arial"/>
              <w:b w:val="0"/>
              <w:sz w:val="18"/>
            </w:rPr>
          </w:pPr>
          <w:r>
            <w:rPr>
              <w:rFonts w:ascii="Arial" w:eastAsia="Arial" w:hAnsi="Arial" w:cs="Arial"/>
              <w:b w:val="0"/>
              <w:sz w:val="18"/>
            </w:rPr>
            <w:t>Id: 6C302CF7-F9E1-4384-8890-1415D61087CC. Podpisany</w:t>
          </w:r>
        </w:p>
      </w:tc>
      <w:tc>
        <w:tcPr>
          <w:tcW w:w="3289" w:type="dxa"/>
          <w:tcBorders>
            <w:top w:val="single" w:sz="4" w:space="0" w:color="auto"/>
            <w:left w:val="nil"/>
            <w:bottom w:val="nil"/>
            <w:right w:val="nil"/>
          </w:tcBorders>
          <w:noWrap w:val="0"/>
          <w:tcMar>
            <w:top w:w="100" w:type="dxa"/>
            <w:left w:w="0" w:type="dxa"/>
            <w:bottom w:w="0" w:type="dxa"/>
            <w:right w:w="0" w:type="dxa"/>
          </w:tcMar>
          <w:vAlign w:val="top"/>
          <w:hideMark/>
        </w:tcPr>
        <w:p>
          <w:pPr>
            <w:jc w:val="right"/>
            <w:rPr>
              <w:rFonts w:ascii="Arial" w:eastAsia="Arial" w:hAnsi="Arial" w:cs="Arial"/>
              <w:b w:val="0"/>
              <w:sz w:val="18"/>
            </w:rPr>
          </w:pPr>
          <w:r>
            <w:rPr>
              <w:rFonts w:ascii="Arial" w:eastAsia="Arial" w:hAnsi="Arial" w:cs="Arial"/>
              <w:b w:val="0"/>
              <w:sz w:val="18"/>
            </w:rPr>
            <w:t xml:space="preserve">Strona </w:t>
          </w:r>
          <w:r>
            <w:rPr>
              <w:rFonts w:ascii="Arial" w:eastAsia="Arial" w:hAnsi="Arial" w:cs="Arial"/>
              <w:b w:val="0"/>
              <w:sz w:val="18"/>
            </w:rPr>
            <w:fldChar w:fldCharType="begin"/>
          </w:r>
          <w:r>
            <w:rPr>
              <w:rFonts w:ascii="Arial" w:eastAsia="Arial" w:hAnsi="Arial" w:cs="Arial"/>
              <w:b w:val="0"/>
              <w:sz w:val="18"/>
            </w:rPr>
            <w:instrText>PAGE</w:instrText>
          </w:r>
          <w:r>
            <w:rPr>
              <w:rFonts w:ascii="Arial" w:eastAsia="Arial" w:hAnsi="Arial" w:cs="Arial"/>
              <w:b w:val="0"/>
              <w:sz w:val="18"/>
            </w:rPr>
            <w:fldChar w:fldCharType="separate"/>
          </w:r>
          <w:r>
            <w:rPr>
              <w:rFonts w:ascii="Arial" w:eastAsia="Arial" w:hAnsi="Arial" w:cs="Arial"/>
              <w:b w:val="0"/>
              <w:sz w:val="18"/>
            </w:rPr>
            <w:fldChar w:fldCharType="end"/>
          </w:r>
        </w:p>
      </w:tc>
    </w:tr>
  </w:tbl>
  <w:p>
    <w:pPr>
      <w:rPr>
        <w:rFonts w:ascii="Arial" w:eastAsia="Arial" w:hAnsi="Arial" w:cs="Arial"/>
        <w:b w:val="0"/>
        <w:sz w:val="18"/>
      </w:rP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endnotePr>
    <w:numFmt w:val="decimal"/>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 w:val="00CA2A55"/>
  </w:rsids>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pl-PL"/>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jc w:val="left"/>
    </w:pPr>
    <w:rPr>
      <w:rFonts w:ascii="Arial" w:eastAsia="Arial" w:hAnsi="Arial" w:cs="Arial"/>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a:dk1>
      <a:lt1>
        <a:sysClr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Rada Miejska w Bytomiu</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Uchwała Nr LXI/794/22 z dnia 30 maja 2022 r.</dc:title>
  <dc:subject>w sprawie wystosowania wniosku do Najwyższej Izby Kontroli o^przeprowadzenie kompleksowej kontroli Bytomskiego Przedsiębiorstwa Komunalnego oraz nadzoru właścicielskiego nad tą Spółką</dc:subject>
  <dc:creator>masocha</dc:creator>
  <cp:lastModifiedBy>masocha</cp:lastModifiedBy>
  <cp:revision>1</cp:revision>
  <dcterms:created xsi:type="dcterms:W3CDTF">2022-05-31T13:35:52Z</dcterms:created>
  <dcterms:modified xsi:type="dcterms:W3CDTF">2022-05-31T13:35:52Z</dcterms:modified>
  <cp:category>Akt prawny</cp:category>
</cp:coreProperties>
</file>