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sporządzenia zmiany Studium uwarunkowań i kierunków zagospodarowania przestrzennego Gminy Bytom,  przyjętego uchwałą nr XVI/204/11 Rady Miejskiej w Bytomiu z dnia 24 sierpnia 2011 r., z późniejszymi zmianami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27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503)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sporządzenia zmiany Studium uwarunkowań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kierunków zagospodarowania przestrzennego Gminy Bytom,  przyjętego uchwałą nr XVI/204/11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zmienionego uchwałą nr X/120/13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 XXXVIII/485/17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 LXI/814/18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 LXIV/839/18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 XXXII/463/20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oraz uchwałą nr XL/549/21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dla trzydziestu dwóch obszarów.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Granice obszarów objętych niniejszą uchwałą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przystąpienia do sporządzenia zmiany Studium uwarunkowań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kierunków zagospodarowania przestrzennego Gminy Bytom określają załączniki graficzne, stanowiące integralną część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Zalacznik2.pdf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10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Zalacznik3.pdf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1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12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Zalacznik4.pdf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1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5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14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Zalacznik5.pdf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1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6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1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Zalacznik6.pdf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1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7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18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Zalacznik7.pdf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1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8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20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Zalacznik8.pdf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2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9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22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Zalacznik9.pdf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z dnia 27 marca 2003 r. o planowaniu i zagospodarowaniu przestrzennym (Dz. U. z 202</w:t>
      </w:r>
      <w:r>
        <w:rPr>
          <w:rFonts w:eastAsia="Times New Roman" w:cs="Times New Roman"/>
          <w:szCs w:val="20"/>
        </w:rPr>
        <w:t>2</w:t>
      </w:r>
      <w:r>
        <w:rPr>
          <w:rFonts w:eastAsia="Times New Roman" w:cs="Times New Roman"/>
          <w:szCs w:val="20"/>
        </w:rPr>
        <w:t> r. poz. </w:t>
      </w:r>
      <w:r>
        <w:rPr>
          <w:rFonts w:eastAsia="Times New Roman" w:cs="Times New Roman"/>
          <w:szCs w:val="20"/>
        </w:rPr>
        <w:t>503</w:t>
      </w:r>
      <w:r>
        <w:rPr>
          <w:rFonts w:eastAsia="Times New Roman" w:cs="Times New Roman"/>
          <w:szCs w:val="20"/>
        </w:rPr>
        <w:t>), w celu określenia polityki przestrzennej gminy, w tym lokalnych zasad zagospodarowania przestrzennego, rada gminy podejmuje uchwałę o przystąpieniu do sporządzenia studium uwarunkowań i kierunków zagospodarowania przestrzennego gminy. Zgodnie z art. 27 ww. ustawy, zmiana studium następuje w takim trybie, w jakim jest ono uchwalane.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Zasadniczym c</w:t>
      </w:r>
      <w:r>
        <w:rPr>
          <w:rFonts w:eastAsia="Times New Roman" w:cs="Times New Roman"/>
          <w:szCs w:val="20"/>
        </w:rPr>
        <w:t xml:space="preserve">elem przedmiotowej zmiany Studium jest dostosowanie </w:t>
      </w:r>
      <w:r>
        <w:rPr>
          <w:rFonts w:eastAsia="Times New Roman" w:cs="Times New Roman"/>
          <w:szCs w:val="20"/>
        </w:rPr>
        <w:t xml:space="preserve">jego </w:t>
      </w:r>
      <w:r>
        <w:rPr>
          <w:rFonts w:eastAsia="Times New Roman" w:cs="Times New Roman"/>
          <w:szCs w:val="20"/>
        </w:rPr>
        <w:t xml:space="preserve">zapisów </w:t>
      </w:r>
      <w:r>
        <w:rPr>
          <w:rFonts w:eastAsia="Times New Roman" w:cs="Times New Roman"/>
          <w:szCs w:val="20"/>
        </w:rPr>
        <w:t>do aktualnych uwarunkowań i potrzeb rozwojowych miasta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w szczególności </w:t>
      </w:r>
      <w:r>
        <w:rPr>
          <w:rFonts w:eastAsia="Times New Roman" w:cs="Times New Roman"/>
          <w:szCs w:val="20"/>
        </w:rPr>
        <w:t xml:space="preserve">w zakresie </w:t>
      </w:r>
      <w:r>
        <w:rPr>
          <w:rFonts w:eastAsia="Times New Roman" w:cs="Times New Roman"/>
          <w:szCs w:val="20"/>
        </w:rPr>
        <w:t>wyznaczeni</w:t>
      </w:r>
      <w:r>
        <w:rPr>
          <w:rFonts w:eastAsia="Times New Roman" w:cs="Times New Roman"/>
          <w:szCs w:val="20"/>
        </w:rPr>
        <w:t>a</w:t>
      </w:r>
      <w:r>
        <w:rPr>
          <w:rFonts w:eastAsia="Times New Roman" w:cs="Times New Roman"/>
          <w:szCs w:val="20"/>
        </w:rPr>
        <w:t xml:space="preserve"> obszarów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na których</w:t>
      </w:r>
      <w:r>
        <w:rPr>
          <w:rFonts w:eastAsia="Times New Roman" w:cs="Times New Roman"/>
          <w:szCs w:val="20"/>
        </w:rPr>
        <w:t xml:space="preserve"> możliwe będzie </w:t>
      </w:r>
      <w:r>
        <w:rPr>
          <w:rFonts w:eastAsia="Times New Roman" w:cs="Times New Roman"/>
          <w:szCs w:val="20"/>
        </w:rPr>
        <w:t>rozmieszcz</w:t>
      </w:r>
      <w:r>
        <w:rPr>
          <w:rFonts w:eastAsia="Times New Roman" w:cs="Times New Roman"/>
          <w:szCs w:val="20"/>
        </w:rPr>
        <w:t>enie</w:t>
      </w:r>
      <w:r>
        <w:rPr>
          <w:rFonts w:eastAsia="Times New Roman" w:cs="Times New Roman"/>
          <w:szCs w:val="20"/>
        </w:rPr>
        <w:t xml:space="preserve"> urządze</w:t>
      </w:r>
      <w:r>
        <w:rPr>
          <w:rFonts w:eastAsia="Times New Roman" w:cs="Times New Roman"/>
          <w:szCs w:val="20"/>
        </w:rPr>
        <w:t>ń</w:t>
      </w:r>
      <w:r>
        <w:rPr>
          <w:rFonts w:eastAsia="Times New Roman" w:cs="Times New Roman"/>
          <w:szCs w:val="20"/>
        </w:rPr>
        <w:t xml:space="preserve"> wytwarzając</w:t>
      </w:r>
      <w:r>
        <w:rPr>
          <w:rFonts w:eastAsia="Times New Roman" w:cs="Times New Roman"/>
          <w:szCs w:val="20"/>
        </w:rPr>
        <w:t>ych</w:t>
      </w:r>
      <w:r>
        <w:rPr>
          <w:rFonts w:eastAsia="Times New Roman" w:cs="Times New Roman"/>
          <w:szCs w:val="20"/>
        </w:rPr>
        <w:t xml:space="preserve"> energię z odnawialnych źródeł energii o mocy przekraczającej 500 kW </w:t>
      </w:r>
      <w:r>
        <w:rPr>
          <w:rFonts w:eastAsia="Times New Roman" w:cs="Times New Roman"/>
          <w:szCs w:val="20"/>
        </w:rPr>
        <w:t>(tj. instalacji fotowoltaicznych)</w:t>
      </w:r>
      <w:r>
        <w:rPr>
          <w:rFonts w:eastAsia="Times New Roman" w:cs="Times New Roman"/>
          <w:szCs w:val="2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</w:t>
      </w:r>
      <w:r>
        <w:rPr>
          <w:rFonts w:eastAsia="Times New Roman" w:cs="Times New Roman"/>
          <w:szCs w:val="20"/>
        </w:rPr>
        <w:t>tym,</w:t>
      </w:r>
      <w:r>
        <w:rPr>
          <w:rFonts w:eastAsia="Times New Roman" w:cs="Times New Roman"/>
          <w:szCs w:val="20"/>
        </w:rPr>
        <w:t xml:space="preserve"> wyznaczono </w:t>
      </w:r>
      <w:r>
        <w:rPr>
          <w:rFonts w:eastAsia="Times New Roman" w:cs="Times New Roman"/>
          <w:color w:val="000000"/>
          <w:szCs w:val="20"/>
          <w:u w:color="000000"/>
        </w:rPr>
        <w:t>3</w:t>
      </w:r>
      <w:r>
        <w:rPr>
          <w:rFonts w:eastAsia="Times New Roman" w:cs="Times New Roman"/>
          <w:color w:val="000000"/>
          <w:szCs w:val="20"/>
          <w:u w:color="000000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> obszar</w:t>
      </w:r>
      <w:r>
        <w:rPr>
          <w:rFonts w:eastAsia="Times New Roman" w:cs="Times New Roman"/>
          <w:color w:val="000000"/>
          <w:szCs w:val="20"/>
          <w:u w:color="000000"/>
        </w:rPr>
        <w:t>y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proponowane do</w:t>
      </w:r>
      <w:r>
        <w:rPr>
          <w:rFonts w:eastAsia="Times New Roman" w:cs="Times New Roman"/>
          <w:color w:val="000000"/>
          <w:szCs w:val="20"/>
          <w:u w:color="000000"/>
        </w:rPr>
        <w:t xml:space="preserve"> zmiany ustaleń obowiązującego Studium</w:t>
      </w:r>
      <w:r>
        <w:rPr>
          <w:rFonts w:eastAsia="Times New Roman" w:cs="Times New Roman"/>
          <w:color w:val="000000"/>
          <w:szCs w:val="20"/>
          <w:u w:color="000000"/>
        </w:rPr>
        <w:t xml:space="preserve"> w powyższym zakresie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</w:t>
      </w:r>
      <w:r>
        <w:rPr>
          <w:rFonts w:eastAsia="Times New Roman" w:cs="Times New Roman"/>
          <w:color w:val="000000"/>
          <w:szCs w:val="20"/>
          <w:u w:color="000000"/>
        </w:rPr>
        <w:t>bszary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na których rozmieszczone będą urządzenia wytwarzające energię z odnawialnych źródeł energii o mocy przekraczającej 500 kW </w:t>
      </w:r>
      <w:r>
        <w:rPr>
          <w:rFonts w:eastAsia="Times New Roman" w:cs="Times New Roman"/>
          <w:color w:val="000000"/>
          <w:szCs w:val="20"/>
          <w:u w:color="000000"/>
        </w:rPr>
        <w:t>(instalacje</w:t>
      </w:r>
      <w:r>
        <w:rPr>
          <w:rFonts w:eastAsia="Times New Roman" w:cs="Times New Roman"/>
          <w:color w:val="000000"/>
          <w:szCs w:val="20"/>
          <w:u w:color="000000"/>
        </w:rPr>
        <w:t xml:space="preserve"> fotowoltaiczne</w:t>
      </w:r>
      <w:r>
        <w:rPr>
          <w:rFonts w:eastAsia="Times New Roman" w:cs="Times New Roman"/>
          <w:color w:val="000000"/>
          <w:szCs w:val="20"/>
          <w:u w:color="000000"/>
        </w:rPr>
        <w:t>)</w:t>
      </w:r>
      <w:r>
        <w:rPr>
          <w:rFonts w:eastAsia="Times New Roman" w:cs="Times New Roman"/>
          <w:color w:val="000000"/>
          <w:szCs w:val="20"/>
          <w:u w:color="000000"/>
        </w:rPr>
        <w:t xml:space="preserve"> są w </w:t>
      </w:r>
      <w:r>
        <w:rPr>
          <w:rFonts w:eastAsia="Times New Roman" w:cs="Times New Roman"/>
          <w:color w:val="000000"/>
          <w:szCs w:val="20"/>
          <w:u w:color="000000"/>
        </w:rPr>
        <w:t>obowiązującym Studium</w:t>
      </w:r>
      <w:r>
        <w:rPr>
          <w:rFonts w:eastAsia="Times New Roman" w:cs="Times New Roman"/>
          <w:color w:val="000000"/>
          <w:szCs w:val="20"/>
          <w:u w:color="000000"/>
        </w:rPr>
        <w:t xml:space="preserve"> przeznaczone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pod</w:t>
      </w:r>
      <w:r>
        <w:rPr>
          <w:rFonts w:eastAsia="Times New Roman" w:cs="Times New Roman"/>
          <w:color w:val="000000"/>
          <w:szCs w:val="20"/>
          <w:u w:color="000000"/>
        </w:rPr>
        <w:t>: tereny zabudowy produkcyjnej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tereny zabudowy infrastruktury technicznej oraz składowisk odpadów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tereny zabudowy przemysłowej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tereny poprzemysłowe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tereny zabudowy usługowo -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Umożliwienie realizacji </w:t>
      </w:r>
      <w:r>
        <w:rPr>
          <w:rFonts w:eastAsia="Times New Roman" w:cs="Times New Roman"/>
          <w:color w:val="000000"/>
          <w:szCs w:val="20"/>
          <w:u w:color="000000"/>
        </w:rPr>
        <w:t>instalacji</w:t>
      </w:r>
      <w:r>
        <w:rPr>
          <w:rFonts w:eastAsia="Times New Roman" w:cs="Times New Roman"/>
          <w:color w:val="000000"/>
          <w:szCs w:val="20"/>
          <w:u w:color="000000"/>
        </w:rPr>
        <w:t xml:space="preserve"> fotowoltaicznych podniesie atrakcyjność przedmiotowych terenów oraz wpisze się w</w:t>
      </w:r>
      <w:r>
        <w:rPr>
          <w:rFonts w:eastAsia="Times New Roman" w:cs="Times New Roman"/>
          <w:color w:val="000000"/>
          <w:szCs w:val="20"/>
          <w:u w:color="000000"/>
        </w:rPr>
        <w:t xml:space="preserve"> politykę</w:t>
      </w:r>
      <w:r>
        <w:rPr>
          <w:rFonts w:eastAsia="Times New Roman" w:cs="Times New Roman"/>
          <w:color w:val="000000"/>
          <w:szCs w:val="20"/>
          <w:u w:color="000000"/>
        </w:rPr>
        <w:t> rozw</w:t>
      </w:r>
      <w:r>
        <w:rPr>
          <w:rFonts w:eastAsia="Times New Roman" w:cs="Times New Roman"/>
          <w:color w:val="000000"/>
          <w:szCs w:val="20"/>
          <w:u w:color="000000"/>
        </w:rPr>
        <w:t>oju</w:t>
      </w:r>
      <w:r>
        <w:rPr>
          <w:rFonts w:eastAsia="Times New Roman" w:cs="Times New Roman"/>
          <w:color w:val="000000"/>
          <w:szCs w:val="20"/>
          <w:u w:color="000000"/>
        </w:rPr>
        <w:t xml:space="preserve"> odnawialnych źródeł energii.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Proponowane zmiany kierunków przeznaczeń ww. obszarów mogą ulec korektom wynikającym z przeprowadzanych dalszych prac projektowych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w wyniku rozstrzygnięć złożonych wniosków, uwag lub uzyskanych uzgodnień.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 podjęciu przez Radę Miejską w Bytomiu uchwały o przystąpieniu do sporządzenia zmiany Studium, Prezydent Miasta kolejno wypełni zadania określone w art. 11 ustawy o planowaniu i zagospodarowaniu przestrzennym.</w:t>
      </w:r>
    </w:p>
    <w:sectPr>
      <w:footerReference w:type="default" r:id="rId23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F6931DA0-7FC0-4C4E-ACF6-098907F04649.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F6931DA0-7FC0-4C4E-ACF6-098907F04649.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F6931DA0-7FC0-4C4E-ACF6-098907F04649.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F6931DA0-7FC0-4C4E-ACF6-098907F04649.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F6931DA0-7FC0-4C4E-ACF6-098907F04649.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F6931DA0-7FC0-4C4E-ACF6-098907F04649.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F6931DA0-7FC0-4C4E-ACF6-098907F04649.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F6931DA0-7FC0-4C4E-ACF6-098907F04649.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F6931DA0-7FC0-4C4E-ACF6-098907F04649.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F6931DA0-7FC0-4C4E-ACF6-098907F04649.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F6931DA0-7FC0-4C4E-ACF6-098907F04649.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hyperlink" Target="Zalacznik4.pdf" TargetMode="External" /><Relationship Id="rId13" Type="http://schemas.openxmlformats.org/officeDocument/2006/relationships/footer" Target="footer6.xml" /><Relationship Id="rId14" Type="http://schemas.openxmlformats.org/officeDocument/2006/relationships/hyperlink" Target="Zalacznik5.pdf" TargetMode="External" /><Relationship Id="rId15" Type="http://schemas.openxmlformats.org/officeDocument/2006/relationships/footer" Target="footer7.xml" /><Relationship Id="rId16" Type="http://schemas.openxmlformats.org/officeDocument/2006/relationships/hyperlink" Target="Zalacznik6.pdf" TargetMode="External" /><Relationship Id="rId17" Type="http://schemas.openxmlformats.org/officeDocument/2006/relationships/footer" Target="footer8.xml" /><Relationship Id="rId18" Type="http://schemas.openxmlformats.org/officeDocument/2006/relationships/hyperlink" Target="Zalacznik7.pdf" TargetMode="External" /><Relationship Id="rId19" Type="http://schemas.openxmlformats.org/officeDocument/2006/relationships/footer" Target="footer9.xml" /><Relationship Id="rId2" Type="http://schemas.openxmlformats.org/officeDocument/2006/relationships/webSettings" Target="webSettings.xml" /><Relationship Id="rId20" Type="http://schemas.openxmlformats.org/officeDocument/2006/relationships/hyperlink" Target="Zalacznik8.pdf" TargetMode="External" /><Relationship Id="rId21" Type="http://schemas.openxmlformats.org/officeDocument/2006/relationships/footer" Target="footer10.xml" /><Relationship Id="rId22" Type="http://schemas.openxmlformats.org/officeDocument/2006/relationships/hyperlink" Target="Zalacznik9.pdf" TargetMode="External" /><Relationship Id="rId23" Type="http://schemas.openxmlformats.org/officeDocument/2006/relationships/footer" Target="footer11.xml" /><Relationship Id="rId24" Type="http://schemas.openxmlformats.org/officeDocument/2006/relationships/theme" Target="theme/theme1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przystąpienia do sporządzenia zmiany Studium uwarunkowań i^kierunków zagospodarowania przestrzennego Gminy Bytom,  przyjętego uchwałą nr XVI/204/11 Rady Miejskiej w^Bytomiu z^dnia 24^sierpnia 2011^r., z^późniejszymi zmianami</dc:subject>
  <dc:creator>mzalewski</dc:creator>
  <cp:lastModifiedBy>mzalewski</cp:lastModifiedBy>
  <cp:revision>1</cp:revision>
  <dcterms:created xsi:type="dcterms:W3CDTF">2022-04-05T09:52:27Z</dcterms:created>
  <dcterms:modified xsi:type="dcterms:W3CDTF">2022-04-05T09:52:27Z</dcterms:modified>
  <cp:category>Akt prawny</cp:category>
</cp:coreProperties>
</file>