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LIV/751/22</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28 lutego 2022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stanowiska Rady Miejskiej dotyczącego skargi na działalność Dyrektora Przedszkola Miejskiego nr 20 w Bytomiu</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1372,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229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239 Kodeksu postępowania administracyjnego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735,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Rada Miejska odrzuca skargę na działalność Dyrektora Przedszkola Miejskiego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gdyż jej rozpatrzenie nie</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należy do właściwości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Komisja Skarg, Wniosków i Petycji Rady Miejskiej w Bytomiu na posiedzeniu w dniu 21 lutego 2022 r. rozpatrywała skargę z dnia 28 listopada 2021 r. złożoną przez panią K.B. na działania pani dyrektor Przedszkola Miejskiego nr 20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Skarżąca zarzuca pani dyrektor, iż dopuściła się wobec niej wielokrotnie działań mających znamiona mobbingu, między innymi: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ciągłą krytykę życia osobistego,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stosowanie pogróżek słownych,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straszenie zwolnieniem z pracy,</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zaniżanie oceny zaangażowania w pracę,</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obniżenie samooceny i efektywności,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ciągłą i nieracjonalną krytykę wykonanej pracy,</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ograniczenie możliwości wypowiadania się,</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brak możliwości zabrania głosu,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reagowanie na zgłaszane uwagi agresją słowną,</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nieustanne kwestionowanie każdej decyzji,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zatajenie przed pracownikiem istotnych informacji koniecznych do prawidłowego wykonania przydzielonych zadań.</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szCs w:val="20"/>
        </w:rPr>
        <w:t>Komisja dokonała analizy zarzutów zawartych w skardze, zapoznała się z zebraną w sprawie dokumentacją wraz z opinią prawną. Zdaniem wydającego opinię prawną zgodnie z art. 228</w:t>
      </w:r>
      <w:r>
        <w:rPr>
          <w:rFonts w:eastAsia="Times New Roman" w:cs="Times New Roman"/>
          <w:szCs w:val="20"/>
        </w:rPr>
        <w:t xml:space="preserve"> </w:t>
      </w:r>
      <w:r>
        <w:rPr>
          <w:rFonts w:eastAsia="Times New Roman" w:cs="Times New Roman"/>
          <w:szCs w:val="20"/>
        </w:rPr>
        <w:t>ustawy z dnia 14 czerwca 1960 r. kodeks postępowania administracyjnego skargi składa się do organów właściwych do ich rozpatrzenia. Jeżeli przepisy szczególne nie określają innych organów właściwych do rozpatrzenia skarg, rada gminy jest organem właściwym do rozpatrzenia skargi dotyczącej zadań lub działalności wójta (burmistrz lub prezydenta miasta) i kierowników gminnych jednostek organizacyjnych. Zgodnie z orzecznictwem dyrektor szkoły jest kierownikiem gminnej jednostki organizacyjnej (m.in. wyrok NSA z dnia 20.12.2006 r., sygn. akt I OSK 1593/06). Zapis art. 227 kpa stanowi, że rada rozpatruje skargi na dyrektora szkoły w zakresie zaniedbań lub nienależytego wykonania powierzonych mu zadań, naruszania praworządności lub interesów skarżącego, a także przewlekłości lub biurokratycznego załatwiania spraw. Zgodnie z art. 94 </w:t>
      </w:r>
      <w:r>
        <w:rPr>
          <w:rFonts w:eastAsia="Times New Roman" w:cs="Times New Roman"/>
          <w:color w:val="000000"/>
          <w:szCs w:val="20"/>
          <w:u w:color="000000"/>
          <w:vertAlign w:val="superscript"/>
        </w:rPr>
        <w:t>3</w:t>
      </w:r>
      <w:r>
        <w:rPr>
          <w:rFonts w:eastAsia="Times New Roman" w:cs="Times New Roman"/>
          <w:color w:val="000000"/>
          <w:szCs w:val="20"/>
          <w:u w:color="000000"/>
        </w:rPr>
        <w:t xml:space="preserve"> § 2 ustawy z dnia 26 czerwca 1974 r. kodeks pracy mobbing oznacza działania lub zachowania dotyczące pracownika lub skierowane przeciwko pracownikowi, polegające na uporczywym i długotrwałym nękaniu lub zastraszaniu pracownika, wywołujące u niego zaniżoną ocenę przydatności zawodowej, powodujące lub mające na celu poniżenie lub ośmieszenie pracownika, izolowanie go lub wyeliminowanie z zespołu współpracowników. Ponadto w myśl art. 94 </w:t>
      </w:r>
      <w:r>
        <w:rPr>
          <w:rFonts w:eastAsia="Times New Roman" w:cs="Times New Roman"/>
          <w:color w:val="000000"/>
          <w:szCs w:val="20"/>
          <w:u w:color="000000"/>
          <w:vertAlign w:val="superscript"/>
        </w:rPr>
        <w:t>3</w:t>
      </w:r>
      <w:r>
        <w:rPr>
          <w:rFonts w:eastAsia="Times New Roman" w:cs="Times New Roman"/>
          <w:color w:val="000000"/>
          <w:szCs w:val="20"/>
          <w:u w:color="000000"/>
        </w:rPr>
        <w:t xml:space="preserve"> § 3 i 4 kp pracownik, u którego mobbing wywołał rozstrój zdrowia, może dochodzić od pracodawcy odpowiedniej sumy tytułem zadośćuczynienia pieniężnego za doznaną krzywdę.  Pracownik, który doznał mobbingu lub wskutek mobbingu rozwiązał umowę o pracę, ma prawo dochodzić od pracodawcy odszkodowania w wysokości nie niższej niż minimalne wynagrodzenie za pracę, ustalane na podstawie odrębnych przepisów. Powołany przepis odsyła do przepisów regulujących procedurę postępowania cywilnego, gdyż zgodnie z art. 262 kp w kwestiach mobbingu orzekają wyłącznie sądy pracy, które po przeprowadzeniu postępowania dowodowego  rozstrzygają o wypełnieniu się znamion mobbingu.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Mając na uwadze powyższe należy stwierdzić, że Rada Miejska nie jest uprawniona do zajmowania merytorycznego stanowiska w rozpatrywanej sprawie, gdyż znajduje się to poza zakresem jej prerogatyw, z tych względów skarga powinna zostać odrzucona (wyrok WSA w Szczecinie z dnia 09 sierpnia 2012r., sygn. akt II SA/Sz/696/12).</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Po zapoznaniu się z dokumentacją skargi oraz opinią prawną Komisja Skarg, Wniosków i Petycji stwierdza, że skarga pani K.B. na działania pani dyrektor Przedszkola Miejskiego nr 20 w Bytomiu winna zostać odrzucona, gdyż Rada Miejska nie jest uprawniona do stwierdzenia okoliczności objętych przedmiotem skargi.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A3D294F0-DF5B-43CF-8CFB-1D373A4193E1.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A3D294F0-DF5B-43CF-8CFB-1D373A4193E1.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LIV/751/22 z dnia 28 lutego 2022 r.</dc:title>
  <dc:subject>w sprawie stanowiska Rady Miejskiej dotyczącego skargi na działalność Dyrektora Przedszkola Miejskiego nr 20^w^Bytomiu</dc:subject>
  <dc:creator>masocha</dc:creator>
  <cp:lastModifiedBy>masocha</cp:lastModifiedBy>
  <cp:revision>1</cp:revision>
  <dcterms:created xsi:type="dcterms:W3CDTF">2022-03-01T11:57:05Z</dcterms:created>
  <dcterms:modified xsi:type="dcterms:W3CDTF">2022-03-01T11:57:05Z</dcterms:modified>
  <cp:category>Akt prawny</cp:category>
</cp:coreProperties>
</file>