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LIV/749/22</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28 lutego 2022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odmowy udzielenia zgody na cesję wierzytelności przyszłych wobec Szpitala Specjalistycznego Nr 1 w Bytomiu</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54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2011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działalności leczniczej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711,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Odmawia się udzielenia zgody na dokonanie cesji wierzytelności przyszłych przysługujących firmie Catermed Sp.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siedzibą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Łodzi, ul. Traktorowa 126/201, wobec Szpitala Specjalistycznego Nr</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wynikających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umowy nr 144/2021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października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celem zabezpieczenia wierzytelności BNP Paribas Bank Polska S.A.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siedzibą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Warszawie, ul. Suwak 3,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tytułu kredytu udzielonego firmie Catermed Sp.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o.o.</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dniu 12 stycznia 2022 roku, firma Catermed Sp. z o.o. z siedzibą w Łodzi, ul. Traktorowa 126/201, zwróciła się do Urzędu Miejskiego w Bytomiu z wnioskiem o wyrażenie zgody na dokonanie cesji wierzytelności przyszłych przysługujących ww. Spółce, zgodnie z umową nr 144/2021 z dnia 28 października 2021 roku, zawartą ze Szpitalem Specjalistycznym Nr 1 w Bytomiu, celem zabezpieczenia wierzytelności BNP Paribas Bank Polska S.A. z siedzibą w Warszawie, ul. Suwak 3, z tytułu kredytu udzielonego Spółce Catermed.</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Na podstawie art. 54 ust. 5 ustawy z dnia 15 kwietnia 2011 r. o działalności leczniczej (Dz. U. z 2021 r. poz. 711, z późn. zm.), czynność prawna mająca na celu zmianę wierzyciela samodzielnego publicznego zakładu opieki zdrowotnej może nastąpić po wyrażeniu zgody przez podmiot tworzący. Podmiot tworzący wydaje zgodę albo odmawia jej wydania, biorąc pod uwagę konieczność zapewnienia ciągłości udzielania świadczeń zdrowotnych oraz w oparciu o analizę sytuacji finansowej i wynik finansowy samodzielnego publicznego zakładu opieki zdrowotnej za rok poprzedni. Zgodę wydaje się po zasięgnięciu opinii kierownika samodzielnego publicznego zakładu opieki zdrowotnej.</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Zgodnie z opinią Dyrektora Szpitala Specjalistycznego Nr 1, zawartą w piśmie znak ZP/13/2022 z dnia 21 stycznia 2022 roku, wyrażenie zgody na dokonanie cesji wierzytelności przyszłych przysługujących firmie Catermed Sp. z o.o. z siedzibą w Łodzi, ul. Traktorowa 126/201, w świetle sytuacji finansowej Szpitala mogłoby skutkować zagrożeniem ciągłości udzielania przez Szpital świadczeń zdrowotnych, w wyniku ewentualnych zajęć komorniczych. W związku z tym przedmiotowy wniosek został zaopiniowany negatywnie.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Biorąc powyższe pod uwagę, odmowa udzielenia zgody na dokonanie cesji, o której mowa w uchwale, jest w pełni uzasadniona.</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EFA1ECF4-A755-4C83-87FA-4A708DD01DE2.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EFA1ECF4-A755-4C83-87FA-4A708DD01DE2.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LIV/749/22 z dnia 28 lutego 2022 r.</dc:title>
  <dc:subject>w sprawie odmowy udzielenia zgody na cesję wierzytelności przyszłych wobec Szpitala Specjalistycznego Nr^1^w^Bytomiu</dc:subject>
  <dc:creator>masocha</dc:creator>
  <cp:lastModifiedBy>masocha</cp:lastModifiedBy>
  <cp:revision>1</cp:revision>
  <dcterms:created xsi:type="dcterms:W3CDTF">2022-03-01T11:53:28Z</dcterms:created>
  <dcterms:modified xsi:type="dcterms:W3CDTF">2022-03-01T11:53:28Z</dcterms:modified>
  <cp:category>Akt prawny</cp:category>
</cp:coreProperties>
</file>