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CE15C9">
      <w:pPr>
        <w:jc w:val="center"/>
        <w:rPr>
          <w:b/>
          <w:caps/>
        </w:rPr>
      </w:pPr>
      <w:r>
        <w:rPr>
          <w:b/>
          <w:caps/>
        </w:rPr>
        <w:t>Uchwała Nr LIV/744/22</w:t>
      </w:r>
      <w:r>
        <w:rPr>
          <w:b/>
          <w:caps/>
        </w:rPr>
        <w:br/>
        <w:t>Rady Miejskiej w Bytomiu</w:t>
      </w:r>
    </w:p>
    <w:p w:rsidR="00A77B3E" w:rsidRDefault="00CE15C9">
      <w:pPr>
        <w:spacing w:before="280" w:after="280"/>
        <w:jc w:val="center"/>
        <w:rPr>
          <w:b/>
          <w:caps/>
        </w:rPr>
      </w:pPr>
      <w:r>
        <w:t>z dnia 28 lutego 2022 r.</w:t>
      </w:r>
    </w:p>
    <w:p w:rsidR="00A77B3E" w:rsidRDefault="00CE15C9">
      <w:pPr>
        <w:keepNext/>
        <w:spacing w:after="480"/>
        <w:jc w:val="center"/>
      </w:pPr>
      <w:r>
        <w:rPr>
          <w:b/>
        </w:rPr>
        <w:t>w sprawie wyrażenia zgody na odstąpienie od obowiązku przetargowego trybu zawarcia umów dzierżawy nieruchomości położonych w Bytomiu przy: ulicy Cybisa i alei Legionów</w:t>
      </w:r>
    </w:p>
    <w:p w:rsidR="00A77B3E" w:rsidRDefault="00CE15C9">
      <w:pPr>
        <w:keepLines/>
        <w:spacing w:before="120" w:after="120"/>
        <w:ind w:firstLine="227"/>
      </w:pPr>
      <w:r>
        <w:t xml:space="preserve">Na podstawie </w:t>
      </w:r>
      <w:r>
        <w:t xml:space="preserve">art. 18 ust. 2 </w:t>
      </w:r>
      <w:proofErr w:type="spellStart"/>
      <w:r>
        <w:t>pkt</w:t>
      </w:r>
      <w:proofErr w:type="spellEnd"/>
      <w:r>
        <w:t> 9 lit. a ustawy z dnia 8 marca 1990 r. o samorządzie gminnym (Dz. U. z 2021 r. poz. 1372, z </w:t>
      </w:r>
      <w:proofErr w:type="spellStart"/>
      <w:r>
        <w:t>późn</w:t>
      </w:r>
      <w:proofErr w:type="spellEnd"/>
      <w:r>
        <w:t>. zm.) w związku z art. 37 ust. 4 ustawy z dnia 21 sierpnia 1997 r. o gospodarce nieruchomościami (Dz. U. z 2021 r. poz. 1899) uchwala się, c</w:t>
      </w:r>
      <w:r>
        <w:t>o następuje:</w:t>
      </w:r>
    </w:p>
    <w:p w:rsidR="00A77B3E" w:rsidRDefault="00CE15C9">
      <w:pPr>
        <w:keepLines/>
        <w:spacing w:before="120" w:after="120"/>
        <w:ind w:firstLine="340"/>
      </w:pPr>
      <w:r>
        <w:rPr>
          <w:b/>
        </w:rPr>
        <w:t>§ 1. </w:t>
      </w:r>
      <w:r>
        <w:t>Wyraża się zgodę na odstąpienie od obowiązku przetargowego trybu zawarcia umów dzierżawy nieruchomości wymienionych w § 2.</w:t>
      </w:r>
    </w:p>
    <w:p w:rsidR="00A77B3E" w:rsidRDefault="00CE15C9">
      <w:pPr>
        <w:keepLines/>
        <w:spacing w:before="120" w:after="120"/>
        <w:ind w:firstLine="340"/>
      </w:pPr>
      <w:r>
        <w:rPr>
          <w:b/>
        </w:rPr>
        <w:t>§ 2. </w:t>
      </w:r>
      <w:r>
        <w:t>Zgoda, o której mowa w § 1, dotyczy następujących dzierżawców nieruchomości położonych w Bytomiu przy:</w:t>
      </w:r>
    </w:p>
    <w:p w:rsidR="00A77B3E" w:rsidRDefault="00CE15C9">
      <w:pPr>
        <w:spacing w:before="120" w:after="120"/>
        <w:ind w:left="340" w:hanging="227"/>
        <w:rPr>
          <w:color w:val="000000"/>
          <w:u w:color="000000"/>
        </w:rPr>
      </w:pPr>
      <w:r>
        <w:t>1) </w:t>
      </w:r>
      <w:r>
        <w:t xml:space="preserve">ul. </w:t>
      </w:r>
      <w:r>
        <w:t>Cybisa, o pow. 37 m</w:t>
      </w:r>
      <w:r>
        <w:rPr>
          <w:color w:val="000000"/>
          <w:u w:color="000000"/>
          <w:vertAlign w:val="superscript"/>
        </w:rPr>
        <w:t>2</w:t>
      </w:r>
      <w:r>
        <w:rPr>
          <w:color w:val="000000"/>
          <w:u w:color="000000"/>
        </w:rPr>
        <w:t xml:space="preserve">, stanowiącej działkę gruntu nr 184/74 (karta mapy 16, obręb Bytom), objętą księgą wieczystą KA1Y/00007460/4, zabudowaną garażem murowanym o pow. 20 m </w:t>
      </w:r>
      <w:r>
        <w:rPr>
          <w:color w:val="000000"/>
          <w:u w:color="000000"/>
          <w:vertAlign w:val="superscript"/>
        </w:rPr>
        <w:t>2</w:t>
      </w:r>
      <w:r>
        <w:rPr>
          <w:color w:val="000000"/>
          <w:u w:color="000000"/>
        </w:rPr>
        <w:t>, na rzecz […]</w:t>
      </w:r>
      <w:r>
        <w:rPr>
          <w:color w:val="000000"/>
          <w:u w:color="000000"/>
        </w:rPr>
        <w:t>;</w:t>
      </w:r>
    </w:p>
    <w:p w:rsidR="00A77B3E" w:rsidRDefault="00CE15C9">
      <w:pPr>
        <w:spacing w:before="120" w:after="120"/>
        <w:ind w:left="340" w:hanging="227"/>
        <w:rPr>
          <w:color w:val="000000"/>
          <w:u w:color="000000"/>
        </w:rPr>
      </w:pPr>
      <w:r>
        <w:t>2) </w:t>
      </w:r>
      <w:r>
        <w:rPr>
          <w:color w:val="000000"/>
          <w:u w:color="000000"/>
        </w:rPr>
        <w:t>al. Legionów, o pow. 23 m</w:t>
      </w:r>
      <w:r>
        <w:rPr>
          <w:color w:val="000000"/>
          <w:u w:color="000000"/>
          <w:vertAlign w:val="superscript"/>
        </w:rPr>
        <w:t>2</w:t>
      </w:r>
      <w:r>
        <w:rPr>
          <w:color w:val="000000"/>
          <w:u w:color="000000"/>
        </w:rPr>
        <w:t>, stanowiącej działkę gruntu n</w:t>
      </w:r>
      <w:r>
        <w:rPr>
          <w:color w:val="000000"/>
          <w:u w:color="000000"/>
        </w:rPr>
        <w:t>r 108/7 (karta mapy 21, obręb Bytom), objętą księgą wieczystą KA1Y/00008866/7, zabudowaną garażem murowanym o pow. 23 m</w:t>
      </w:r>
      <w:r>
        <w:rPr>
          <w:color w:val="000000"/>
          <w:u w:color="000000"/>
          <w:vertAlign w:val="superscript"/>
        </w:rPr>
        <w:t>2</w:t>
      </w:r>
      <w:r>
        <w:rPr>
          <w:color w:val="000000"/>
          <w:u w:color="000000"/>
        </w:rPr>
        <w:t>, na rzecz […]</w:t>
      </w:r>
      <w:r>
        <w:rPr>
          <w:color w:val="000000"/>
          <w:u w:color="000000"/>
        </w:rPr>
        <w:t>;</w:t>
      </w:r>
    </w:p>
    <w:p w:rsidR="00A77B3E" w:rsidRDefault="00CE15C9">
      <w:pPr>
        <w:spacing w:before="120" w:after="120"/>
        <w:ind w:left="340" w:hanging="227"/>
        <w:rPr>
          <w:color w:val="000000"/>
          <w:u w:color="000000"/>
        </w:rPr>
      </w:pPr>
      <w:r>
        <w:t>3) </w:t>
      </w:r>
      <w:r>
        <w:rPr>
          <w:color w:val="000000"/>
          <w:u w:color="000000"/>
        </w:rPr>
        <w:t>al. Legionów, o pow. 23 m</w:t>
      </w:r>
      <w:r>
        <w:rPr>
          <w:color w:val="000000"/>
          <w:u w:color="000000"/>
          <w:vertAlign w:val="superscript"/>
        </w:rPr>
        <w:t>2</w:t>
      </w:r>
      <w:r>
        <w:rPr>
          <w:color w:val="000000"/>
          <w:u w:color="000000"/>
        </w:rPr>
        <w:t xml:space="preserve">, stanowiącej działkę gruntu nr 111/7 (karta mapy 21, obręb Bytom), </w:t>
      </w:r>
      <w:r>
        <w:rPr>
          <w:color w:val="000000"/>
          <w:u w:color="000000"/>
        </w:rPr>
        <w:t>objętą księgą wieczystą KA1Y/00008866/7, zabudowaną garażem murowanym o pow. 23 m</w:t>
      </w:r>
      <w:r>
        <w:rPr>
          <w:color w:val="000000"/>
          <w:u w:color="000000"/>
          <w:vertAlign w:val="superscript"/>
        </w:rPr>
        <w:t>2</w:t>
      </w:r>
      <w:r>
        <w:rPr>
          <w:color w:val="000000"/>
          <w:u w:color="000000"/>
        </w:rPr>
        <w:t>, na rzecz […]</w:t>
      </w:r>
      <w:r>
        <w:rPr>
          <w:color w:val="000000"/>
          <w:u w:color="000000"/>
        </w:rPr>
        <w:t>;</w:t>
      </w:r>
    </w:p>
    <w:p w:rsidR="00A77B3E" w:rsidRDefault="00CE15C9">
      <w:pPr>
        <w:spacing w:before="120" w:after="120"/>
        <w:ind w:left="340" w:hanging="227"/>
        <w:rPr>
          <w:color w:val="000000"/>
          <w:u w:color="000000"/>
        </w:rPr>
      </w:pPr>
      <w:r>
        <w:t>4) </w:t>
      </w:r>
      <w:r>
        <w:rPr>
          <w:color w:val="000000"/>
          <w:u w:color="000000"/>
        </w:rPr>
        <w:t>al. Legionów, o pow. 23 m</w:t>
      </w:r>
      <w:r>
        <w:rPr>
          <w:color w:val="000000"/>
          <w:u w:color="000000"/>
          <w:vertAlign w:val="superscript"/>
        </w:rPr>
        <w:t>2</w:t>
      </w:r>
      <w:r>
        <w:rPr>
          <w:color w:val="000000"/>
          <w:u w:color="000000"/>
        </w:rPr>
        <w:t>, stanowiącej działkę gruntu nr 109/7 (karta mapy 21, obręb Bytom), objętą księgą wieczystą KA1Y/00008866/7, zabu</w:t>
      </w:r>
      <w:r>
        <w:rPr>
          <w:color w:val="000000"/>
          <w:u w:color="000000"/>
        </w:rPr>
        <w:t>dowaną garażem murowanym o pow. 23 m</w:t>
      </w:r>
      <w:r>
        <w:rPr>
          <w:color w:val="000000"/>
          <w:u w:color="000000"/>
          <w:vertAlign w:val="superscript"/>
        </w:rPr>
        <w:t>2</w:t>
      </w:r>
      <w:r>
        <w:rPr>
          <w:color w:val="000000"/>
          <w:u w:color="000000"/>
        </w:rPr>
        <w:t>, na rzecz […]</w:t>
      </w:r>
      <w:r>
        <w:rPr>
          <w:color w:val="000000"/>
          <w:u w:color="000000"/>
        </w:rPr>
        <w:t>;</w:t>
      </w:r>
    </w:p>
    <w:p w:rsidR="00A77B3E" w:rsidRDefault="00CE15C9">
      <w:pPr>
        <w:spacing w:before="120" w:after="120"/>
        <w:ind w:left="340" w:hanging="227"/>
        <w:rPr>
          <w:color w:val="000000"/>
          <w:u w:color="000000"/>
        </w:rPr>
      </w:pPr>
      <w:r>
        <w:t>5) </w:t>
      </w:r>
      <w:r>
        <w:rPr>
          <w:color w:val="000000"/>
          <w:u w:color="000000"/>
        </w:rPr>
        <w:t>al. Legionów, o pow. 27 m</w:t>
      </w:r>
      <w:r>
        <w:rPr>
          <w:color w:val="000000"/>
          <w:u w:color="000000"/>
          <w:vertAlign w:val="superscript"/>
        </w:rPr>
        <w:t>2</w:t>
      </w:r>
      <w:r>
        <w:rPr>
          <w:color w:val="000000"/>
          <w:u w:color="000000"/>
        </w:rPr>
        <w:t xml:space="preserve">, stanowiącej działkę gruntu nr 106/7 (karta mapy 21, obręb Bytom), objętą księgą wieczystą KA1Y/00008866/7, zabudowaną garażem murowanym o pow. </w:t>
      </w:r>
      <w:r>
        <w:rPr>
          <w:color w:val="000000"/>
          <w:u w:color="000000"/>
        </w:rPr>
        <w:t>27 m</w:t>
      </w:r>
      <w:r>
        <w:rPr>
          <w:color w:val="000000"/>
          <w:u w:color="000000"/>
          <w:vertAlign w:val="superscript"/>
        </w:rPr>
        <w:t>2</w:t>
      </w:r>
      <w:r>
        <w:rPr>
          <w:color w:val="000000"/>
          <w:u w:color="000000"/>
        </w:rPr>
        <w:t>, na rzecz […]</w:t>
      </w:r>
      <w:r>
        <w:rPr>
          <w:color w:val="000000"/>
          <w:u w:color="000000"/>
        </w:rPr>
        <w:t>.</w:t>
      </w:r>
    </w:p>
    <w:p w:rsidR="00A77B3E" w:rsidRDefault="00CE15C9">
      <w:pPr>
        <w:keepLines/>
        <w:spacing w:before="120" w:after="120"/>
        <w:ind w:firstLine="340"/>
        <w:rPr>
          <w:color w:val="000000"/>
          <w:u w:color="000000"/>
        </w:rPr>
      </w:pPr>
      <w:r>
        <w:rPr>
          <w:b/>
        </w:rPr>
        <w:t>§ 3. </w:t>
      </w:r>
      <w:r>
        <w:rPr>
          <w:color w:val="000000"/>
          <w:u w:color="000000"/>
        </w:rPr>
        <w:t>Umowy dzierżawy, o których mowa w § 1, zostaną zawarte na okres 29 lat.</w:t>
      </w:r>
    </w:p>
    <w:p w:rsidR="00A77B3E" w:rsidRDefault="00CE15C9">
      <w:pPr>
        <w:keepLines/>
        <w:spacing w:before="120" w:after="120"/>
        <w:ind w:firstLine="340"/>
        <w:rPr>
          <w:color w:val="000000"/>
          <w:u w:color="000000"/>
        </w:rPr>
      </w:pPr>
      <w:r>
        <w:rPr>
          <w:b/>
        </w:rPr>
        <w:t>§ 4. </w:t>
      </w:r>
      <w:r>
        <w:rPr>
          <w:color w:val="000000"/>
          <w:u w:color="000000"/>
        </w:rPr>
        <w:t>Wykonanie uchwały powierza się Prezydentowi Miasta.</w:t>
      </w:r>
    </w:p>
    <w:p w:rsidR="00A77B3E" w:rsidRDefault="00CE15C9">
      <w:pPr>
        <w:keepNext/>
        <w:keepLines/>
        <w:spacing w:before="120" w:after="120"/>
        <w:ind w:firstLine="340"/>
        <w:rPr>
          <w:color w:val="000000"/>
          <w:u w:color="000000"/>
        </w:rPr>
      </w:pPr>
      <w:r>
        <w:rPr>
          <w:b/>
        </w:rPr>
        <w:t>§ 5. </w:t>
      </w:r>
      <w:r>
        <w:rPr>
          <w:color w:val="000000"/>
          <w:u w:color="000000"/>
        </w:rPr>
        <w:t>Uchwała wchodzi w życie z dniem podjęcia.</w:t>
      </w:r>
    </w:p>
    <w:p w:rsidR="00A77B3E" w:rsidRDefault="00A77B3E">
      <w:pPr>
        <w:keepNext/>
        <w:keepLines/>
        <w:spacing w:before="120" w:after="120"/>
        <w:ind w:firstLine="340"/>
        <w:rPr>
          <w:color w:val="000000"/>
          <w:u w:color="000000"/>
        </w:rPr>
      </w:pPr>
    </w:p>
    <w:p w:rsidR="00A77B3E" w:rsidRDefault="00CE15C9">
      <w:pPr>
        <w:keepNext/>
        <w:rPr>
          <w:color w:val="000000"/>
          <w:u w:color="000000"/>
        </w:rPr>
      </w:pPr>
      <w:r>
        <w:rPr>
          <w:color w:val="000000"/>
        </w:rPr>
        <w:t> </w:t>
      </w:r>
    </w:p>
    <w:tbl>
      <w:tblPr>
        <w:tblW w:w="5000" w:type="pct"/>
        <w:tblCellMar>
          <w:left w:w="0" w:type="dxa"/>
          <w:right w:w="0" w:type="dxa"/>
        </w:tblCellMar>
        <w:tblLook w:val="04A0"/>
      </w:tblPr>
      <w:tblGrid>
        <w:gridCol w:w="4933"/>
        <w:gridCol w:w="4933"/>
      </w:tblGrid>
      <w:tr w:rsidR="00011388">
        <w:tc>
          <w:tcPr>
            <w:tcW w:w="2500" w:type="pct"/>
            <w:tcMar>
              <w:top w:w="0" w:type="dxa"/>
              <w:left w:w="0" w:type="dxa"/>
              <w:bottom w:w="0" w:type="dxa"/>
              <w:right w:w="0" w:type="dxa"/>
            </w:tcMar>
            <w:hideMark/>
          </w:tcPr>
          <w:p w:rsidR="00011388" w:rsidRDefault="00011388">
            <w:pPr>
              <w:keepNext/>
              <w:keepLines/>
              <w:rPr>
                <w:color w:val="000000"/>
              </w:rPr>
            </w:pPr>
          </w:p>
        </w:tc>
        <w:tc>
          <w:tcPr>
            <w:tcW w:w="2500" w:type="pct"/>
            <w:tcMar>
              <w:top w:w="0" w:type="dxa"/>
              <w:left w:w="0" w:type="dxa"/>
              <w:bottom w:w="0" w:type="dxa"/>
              <w:right w:w="0" w:type="dxa"/>
            </w:tcMar>
            <w:hideMark/>
          </w:tcPr>
          <w:p w:rsidR="00011388" w:rsidRDefault="00CE15C9">
            <w:pPr>
              <w:keepNext/>
              <w:keepLines/>
              <w:spacing w:before="100" w:after="40"/>
              <w:ind w:left="1134" w:right="1134"/>
              <w:jc w:val="center"/>
              <w:rPr>
                <w:color w:val="000000"/>
              </w:rPr>
            </w:pPr>
            <w:r>
              <w:rPr>
                <w:color w:val="000000"/>
              </w:rPr>
              <w:t>Przewodniczący Rady Miejskiej</w:t>
            </w:r>
            <w:r>
              <w:rPr>
                <w:color w:val="000000"/>
              </w:rPr>
              <w:br/>
            </w:r>
            <w:r>
              <w:rPr>
                <w:color w:val="000000"/>
              </w:rPr>
              <w:br/>
            </w:r>
            <w:r>
              <w:rPr>
                <w:color w:val="000000"/>
              </w:rPr>
              <w:br/>
            </w:r>
            <w:r>
              <w:rPr>
                <w:b/>
              </w:rPr>
              <w:t>Mariusz Janas</w:t>
            </w:r>
          </w:p>
        </w:tc>
      </w:tr>
    </w:tbl>
    <w:p w:rsidR="00A77B3E" w:rsidRDefault="00A77B3E">
      <w:pPr>
        <w:keepNext/>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p>
    <w:p w:rsidR="00011388" w:rsidRDefault="00CE15C9">
      <w:pPr>
        <w:jc w:val="center"/>
        <w:rPr>
          <w:rFonts w:eastAsia="Times New Roman" w:cs="Times New Roman"/>
          <w:szCs w:val="20"/>
        </w:rPr>
      </w:pPr>
      <w:r>
        <w:rPr>
          <w:rFonts w:eastAsia="Times New Roman" w:cs="Times New Roman"/>
          <w:caps/>
          <w:szCs w:val="20"/>
        </w:rPr>
        <w:lastRenderedPageBreak/>
        <w:t>Uzasadnienie</w:t>
      </w:r>
    </w:p>
    <w:p w:rsidR="00011388" w:rsidRDefault="00CE15C9">
      <w:pPr>
        <w:spacing w:before="120" w:after="120"/>
        <w:ind w:firstLine="227"/>
        <w:rPr>
          <w:rFonts w:eastAsia="Times New Roman" w:cs="Times New Roman"/>
          <w:szCs w:val="20"/>
        </w:rPr>
      </w:pPr>
      <w:r>
        <w:rPr>
          <w:rFonts w:eastAsia="Times New Roman" w:cs="Times New Roman"/>
          <w:szCs w:val="20"/>
        </w:rPr>
        <w:t>W związku z wykonaniem przez Gminę Bytom prawa pierwokupu nieruchomości będących przedmiotem sprzedaży przez syndyka masy upadłości spółki pod firmą: „Zarządca Ano” spółka z ograniczoną odpowiedzialnością Orzeł Spółka Komandytowo-Akcyjna w upadłości likwid</w:t>
      </w:r>
      <w:r>
        <w:rPr>
          <w:rFonts w:eastAsia="Times New Roman" w:cs="Times New Roman"/>
          <w:szCs w:val="20"/>
        </w:rPr>
        <w:t>acyjnej z siedzibą we Wrocławiu, Gmina Bytom stała się użytkownikiem wieczystym gruntu i właścicielem składnika budowlanego usytuowanego na działkach gruntu wymienionych w § 2 uchwały.</w:t>
      </w:r>
    </w:p>
    <w:p w:rsidR="00011388" w:rsidRDefault="00CE15C9">
      <w:pPr>
        <w:spacing w:before="120" w:after="120"/>
        <w:ind w:firstLine="227"/>
        <w:rPr>
          <w:rFonts w:eastAsia="Times New Roman" w:cs="Times New Roman"/>
          <w:szCs w:val="20"/>
        </w:rPr>
      </w:pPr>
      <w:r>
        <w:rPr>
          <w:rFonts w:eastAsia="Times New Roman" w:cs="Times New Roman"/>
          <w:szCs w:val="20"/>
        </w:rPr>
        <w:t>W związku z tym, że w stosunku do składnika budowlanego usytuowanego na</w:t>
      </w:r>
      <w:r>
        <w:rPr>
          <w:rFonts w:eastAsia="Times New Roman" w:cs="Times New Roman"/>
          <w:szCs w:val="20"/>
        </w:rPr>
        <w:t> wskazanych działkach gruntu zostały zgłoszone zastrzeżenia, iż składnik ten może stanowić własność innych podmiotów niż strona zbywająca, zasadnym jest umożliwienie zawarcia, osobom zgłaszającym te wątpliwości, wieloletnich umów dzierżawy zarówno prawa uż</w:t>
      </w:r>
      <w:r>
        <w:rPr>
          <w:rFonts w:eastAsia="Times New Roman" w:cs="Times New Roman"/>
          <w:szCs w:val="20"/>
        </w:rPr>
        <w:t>ytkowania wieczystego gruntu, jak i budynków.</w:t>
      </w:r>
    </w:p>
    <w:p w:rsidR="00011388" w:rsidRDefault="00CE15C9">
      <w:pPr>
        <w:spacing w:before="120" w:after="120"/>
        <w:ind w:firstLine="227"/>
        <w:rPr>
          <w:rFonts w:eastAsia="Times New Roman" w:cs="Times New Roman"/>
          <w:szCs w:val="20"/>
        </w:rPr>
      </w:pPr>
      <w:r>
        <w:rPr>
          <w:rFonts w:eastAsia="Times New Roman" w:cs="Times New Roman"/>
          <w:szCs w:val="20"/>
        </w:rPr>
        <w:t>Rozwiązanie to umożliwi zapewnienie dzierżawcom długoletniego prawa do korzystania z tych nieruchomości.</w:t>
      </w:r>
    </w:p>
    <w:sectPr w:rsidR="00011388" w:rsidSect="00011388">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388" w:rsidRDefault="00011388" w:rsidP="00011388">
      <w:r>
        <w:separator/>
      </w:r>
    </w:p>
  </w:endnote>
  <w:endnote w:type="continuationSeparator" w:id="0">
    <w:p w:rsidR="00011388" w:rsidRDefault="00011388" w:rsidP="000113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011388">
      <w:tc>
        <w:tcPr>
          <w:tcW w:w="6577" w:type="dxa"/>
          <w:tcBorders>
            <w:top w:val="single" w:sz="4" w:space="0" w:color="auto"/>
            <w:left w:val="nil"/>
            <w:bottom w:val="nil"/>
            <w:right w:val="nil"/>
          </w:tcBorders>
          <w:tcMar>
            <w:top w:w="100" w:type="dxa"/>
            <w:left w:w="0" w:type="dxa"/>
            <w:bottom w:w="0" w:type="dxa"/>
            <w:right w:w="0" w:type="dxa"/>
          </w:tcMar>
          <w:hideMark/>
        </w:tcPr>
        <w:p w:rsidR="00011388" w:rsidRDefault="00CE15C9">
          <w:pPr>
            <w:rPr>
              <w:sz w:val="18"/>
            </w:rPr>
          </w:pPr>
          <w:r>
            <w:rPr>
              <w:sz w:val="18"/>
            </w:rPr>
            <w:t>Id: 3072A31D-4DA7-45C3-A0DB-A0E7C8F43032.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011388" w:rsidRDefault="00CE15C9">
          <w:pPr>
            <w:jc w:val="right"/>
            <w:rPr>
              <w:sz w:val="18"/>
            </w:rPr>
          </w:pPr>
          <w:r>
            <w:rPr>
              <w:sz w:val="18"/>
            </w:rPr>
            <w:t xml:space="preserve">Strona </w:t>
          </w:r>
          <w:r w:rsidR="00011388">
            <w:rPr>
              <w:sz w:val="18"/>
            </w:rPr>
            <w:fldChar w:fldCharType="begin"/>
          </w:r>
          <w:r>
            <w:rPr>
              <w:sz w:val="18"/>
            </w:rPr>
            <w:instrText>PAGE</w:instrText>
          </w:r>
          <w:r>
            <w:rPr>
              <w:sz w:val="18"/>
            </w:rPr>
            <w:fldChar w:fldCharType="separate"/>
          </w:r>
          <w:r>
            <w:rPr>
              <w:noProof/>
              <w:sz w:val="18"/>
            </w:rPr>
            <w:t>1</w:t>
          </w:r>
          <w:r w:rsidR="00011388">
            <w:rPr>
              <w:sz w:val="18"/>
            </w:rPr>
            <w:fldChar w:fldCharType="end"/>
          </w:r>
        </w:p>
      </w:tc>
    </w:tr>
  </w:tbl>
  <w:p w:rsidR="00011388" w:rsidRDefault="00011388">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011388">
      <w:tc>
        <w:tcPr>
          <w:tcW w:w="6577" w:type="dxa"/>
          <w:tcBorders>
            <w:top w:val="single" w:sz="4" w:space="0" w:color="auto"/>
            <w:left w:val="nil"/>
            <w:bottom w:val="nil"/>
            <w:right w:val="nil"/>
          </w:tcBorders>
          <w:tcMar>
            <w:top w:w="100" w:type="dxa"/>
            <w:left w:w="0" w:type="dxa"/>
            <w:bottom w:w="0" w:type="dxa"/>
            <w:right w:w="0" w:type="dxa"/>
          </w:tcMar>
          <w:hideMark/>
        </w:tcPr>
        <w:p w:rsidR="00011388" w:rsidRDefault="00CE15C9">
          <w:pPr>
            <w:rPr>
              <w:sz w:val="18"/>
            </w:rPr>
          </w:pPr>
          <w:r>
            <w:rPr>
              <w:sz w:val="18"/>
            </w:rPr>
            <w:t>Id: 3072A31D-4DA7-45C3-A0DB-A0E7C8F43032.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011388" w:rsidRDefault="00CE15C9">
          <w:pPr>
            <w:jc w:val="right"/>
            <w:rPr>
              <w:sz w:val="18"/>
            </w:rPr>
          </w:pPr>
          <w:r>
            <w:rPr>
              <w:sz w:val="18"/>
            </w:rPr>
            <w:t xml:space="preserve">Strona </w:t>
          </w:r>
          <w:r w:rsidR="00011388">
            <w:rPr>
              <w:sz w:val="18"/>
            </w:rPr>
            <w:fldChar w:fldCharType="begin"/>
          </w:r>
          <w:r>
            <w:rPr>
              <w:sz w:val="18"/>
            </w:rPr>
            <w:instrText>PAGE</w:instrText>
          </w:r>
          <w:r>
            <w:rPr>
              <w:sz w:val="18"/>
            </w:rPr>
            <w:fldChar w:fldCharType="separate"/>
          </w:r>
          <w:r>
            <w:rPr>
              <w:noProof/>
              <w:sz w:val="18"/>
            </w:rPr>
            <w:t>2</w:t>
          </w:r>
          <w:r w:rsidR="00011388">
            <w:rPr>
              <w:sz w:val="18"/>
            </w:rPr>
            <w:fldChar w:fldCharType="end"/>
          </w:r>
        </w:p>
      </w:tc>
    </w:tr>
  </w:tbl>
  <w:p w:rsidR="00011388" w:rsidRDefault="00011388">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388" w:rsidRDefault="00011388" w:rsidP="00011388">
      <w:r>
        <w:separator/>
      </w:r>
    </w:p>
  </w:footnote>
  <w:footnote w:type="continuationSeparator" w:id="0">
    <w:p w:rsidR="00011388" w:rsidRDefault="00011388" w:rsidP="000113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11388"/>
    <w:rsid w:val="00A77B3E"/>
    <w:rsid w:val="00CA2A55"/>
    <w:rsid w:val="00CE15C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11388"/>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2893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LIV/744/22 z dnia 28 lutego 2022 r.</dc:title>
  <dc:subject>w sprawie wyrażenia zgody na odstąpienie od obowiązku przetargowego trybu zawarcia umów dzierżawy nieruchomości położonych w^Bytomiu przy: ulicy Cybisa i^alei Legionów</dc:subject>
  <dc:creator>masocha</dc:creator>
  <cp:lastModifiedBy>Marlena Socha</cp:lastModifiedBy>
  <cp:revision>2</cp:revision>
  <dcterms:created xsi:type="dcterms:W3CDTF">2022-03-01T11:22:00Z</dcterms:created>
  <dcterms:modified xsi:type="dcterms:W3CDTF">2022-03-02T10:01:00Z</dcterms:modified>
  <cp:category>Akt prawny</cp:category>
</cp:coreProperties>
</file>