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LII/702/21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użytkowania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poz.1899)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użytkowania, na okres 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lat, ze spółką SA Shelton Spółka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ograniczoną odpowiedzialnością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Warszawie, której przedmiotem będą działki gruntu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307/17, 324/17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593/17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powierzchni 3006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(obręb Miechowice, karta mapy 1), objęte księgą wieczystą KA1Y/00063756/6, stanowiące własność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Wnioskodawca, to jest spółka SA Shelton Spółka z ograniczoną odpowiedzialnością z siedzibą w Warszawie nabyła nieruchomość położoną w Bytomiu przy ul. Felińskiego 1H, dla której to nieruchomości miejsca parkingowe usytuowane są na nieruchomości będącej przedmiotem uchwały. Inwestycja w postaci zagospodarowania tej nieruchomości na miejsca parkingowe i postojowe została zrealizowana przez Spółkę MT3 Sp. z o.o. za kwotę około 320.000 złotych. 23 miejsca postojowe zrealizowane w ramach tej inwestycji są ogólnodostępne dla mieszkańców. Obecny użytkownik nieruchomości objętej księgą wieczystą KA1Y/00063756/6 złożył wniosek o rozwiązanie tej umowy i zawarcie jej ze spółką SA Shelton Spółka z ograniczoną odpowiedzialnością z jednoczesnym zrzeczeniem się jakichkolwiek roszczeń z tytułu poczynionych nakładów wobec gminy Bytom. Zaproponowane rozwiązanie umożliwi częściowe ograniczenie problemu braku miejsc parkingowych na terenie osiedla Miechowice, bez zaangażowania środków finansowych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Wysokość opłat rocznych za ustanowienie prawa użytkowania zostanie ustalona w oparciu o wartość prawa własności nieruchomości objętej księgą KA1Y/00063756/6 określoną przez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korzystanie z części miejsc postojowych usytuowanych na przedmiotowej nieruchomości przez mieszkańców osiedla Miechowice bez angażowania środków finansowych gminy zarówno na ich urządzenie, jak i bieżące utrzymanie.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FDB3F6E3-106D-41DB-89DA-A803157122CB.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FDB3F6E3-106D-41DB-89DA-A803157122CB.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LII/702/21 z dnia 20 grudnia 2021 r.</dc:title>
  <dc:subject>w sprawie wyrażenia zgody na odstąpienie od obowiązku przetargowego trybu zawarcia umowy użytkowania nieruchomości</dc:subject>
  <dc:creator>masocha</dc:creator>
  <cp:lastModifiedBy>masocha</cp:lastModifiedBy>
  <cp:revision>1</cp:revision>
  <dcterms:created xsi:type="dcterms:W3CDTF">2021-12-22T13:15:47Z</dcterms:created>
  <dcterms:modified xsi:type="dcterms:W3CDTF">2021-12-22T13:15:47Z</dcterms:modified>
  <cp:category>Akt prawny</cp:category>
</cp:coreProperties>
</file>