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LII/701/21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 Nr 1 w Bytomiu, za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4.000.000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2021 r. poz. 711, z późn. zm.), podmiot tworzący samodzielny publiczny zakład opieki zdrowotnej może pokryć stratę netto za rok obrotowy tego zakładu w kwocie, jaka nie może być pokryta przez zakład we własnym zakresie w sposób określony w art. 57 ust. 2 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2020 r., poddanym badaniu przez niezależnego biegłego rewidenta, udokumentowanym sprawozdaniem i opinią z dnia 30 kwietnia 2021 r. oraz zatwierdzonym przez Prezydenta Bytomia w dniu 30 czerwca 2021 r., Szpital poniósł stratę netto w wysokości -12.873.021,29 zł, która po dodaniu kosztów amortyzacji w wysokości 2.210.473,67 zł, zamyka się kwotą -10.662.547,62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4.000.000 zł, na pokrycie części straty netto za 2020 rok. Nadmienia się, iż uchwałą nr L/660/21 Rady Miejskiej w Bytomiu z dnia 25 października 2021 r. przeznaczono już na pokrycie straty netto za 2020 rok kwotę 2.000.000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565794C3-3430-48DC-BA27-A7B3357B40E8.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565794C3-3430-48DC-BA27-A7B3357B40E8.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LII/701/21 z dnia 20 grudnia 2021 r.</dc:title>
  <dc:subject>w sprawie pokrycia przez Miasto Bytom części straty netto Szpitala Specjalistycznego^Nr^1^w^Bytomiu, za 2020^r.</dc:subject>
  <dc:creator>masocha</dc:creator>
  <cp:lastModifiedBy>masocha</cp:lastModifiedBy>
  <cp:revision>1</cp:revision>
  <dcterms:created xsi:type="dcterms:W3CDTF">2021-12-22T12:45:10Z</dcterms:created>
  <dcterms:modified xsi:type="dcterms:W3CDTF">2021-12-22T12:45:10Z</dcterms:modified>
  <cp:category>Akt prawny</cp:category>
</cp:coreProperties>
</file>