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6.0 -->
  <w:body>
    <w:p w:rsidR="00A77B3E">
      <w:pPr>
        <w:spacing w:line="240"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LI/694/21</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40" w:lineRule="auto"/>
        <w:ind w:left="0"/>
        <w:jc w:val="center"/>
        <w:rPr>
          <w:rFonts w:ascii="Arial" w:eastAsia="Arial" w:hAnsi="Arial" w:cs="Arial"/>
          <w:b/>
          <w:caps/>
          <w:sz w:val="24"/>
        </w:rPr>
      </w:pPr>
      <w:r>
        <w:rPr>
          <w:rFonts w:ascii="Arial" w:eastAsia="Arial" w:hAnsi="Arial" w:cs="Arial"/>
          <w:b w:val="0"/>
          <w:caps w:val="0"/>
          <w:sz w:val="24"/>
        </w:rPr>
        <w:t>z dnia 23 listopada 2021 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pokrycia części kosztów gospodarowania odpadami komunalnymi z dochodów własnych niepochodzących z pobranej opłaty za gospodarowanie odpadami komunalnymi</w:t>
      </w:r>
    </w:p>
    <w:p w:rsidR="00A77B3E">
      <w:pPr>
        <w:keepNext w:val="0"/>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15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1372,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oraz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6r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2da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13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września 1996</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utrzymaniu czystości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porządku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gminach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888,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uchwala się, co następuje:</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Postanawia się pokryć część kosztów gospodarowania odpadami komunalnymi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dochodów własnych niepochodzących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pobranej opłaty za gospodarowanie odpadami komunalnymi.</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Wykonanie uchwały powierza się Prezydentowi Miasta.</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p>
    <w:p w:rsidR="00A77B3E">
      <w:pPr>
        <w:keepNext/>
        <w:spacing w:before="0" w:after="0"/>
        <w:rPr>
          <w:rFonts w:ascii="Arial" w:eastAsia="Arial" w:hAnsi="Arial" w:cs="Arial"/>
          <w:b w:val="0"/>
          <w:i w:val="0"/>
          <w:caps w:val="0"/>
          <w:strike w:val="0"/>
          <w:color w:val="auto"/>
          <w:sz w:val="24"/>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Mariusz Janas</w:t>
            </w:r>
          </w:p>
        </w:tc>
      </w:tr>
    </w:tbl>
    <w:p w:rsidR="00A77B3E">
      <w:pPr>
        <w:keepNext/>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Zgodnie z art. 6r ust. 2da pkt 1 ustawy z dnia 13 września 1996 r. o utrzymaniu czystości i porządku w gminach (Dz. U. z 2021 r. poz. 888, z późn. zm.), w przypadku gdy środki pozyskane z opłat za gospodarowanie odpadami komunalnymi są niewystarczające na pokrycie kosztów funkcjonowania systemu gospodarowania odpadami komunalnymi, w tym kosztów, o których mowa w ust. 2 </w:t>
      </w:r>
      <w:r>
        <w:rPr>
          <w:rFonts w:eastAsia="Times New Roman" w:cs="Times New Roman"/>
          <w:szCs w:val="20"/>
        </w:rPr>
        <w:t>- </w:t>
      </w:r>
      <w:r>
        <w:rPr>
          <w:rFonts w:eastAsia="Times New Roman" w:cs="Times New Roman"/>
          <w:szCs w:val="20"/>
        </w:rPr>
        <w:t>2c, rada gminy może postanowić, w drodze uchwały, o pokryciu części kosztów gospodarowania odpadami komunalnymi z dochodów własnych niepochodzących z pobranej opłaty za gospodarowanie odpadami komunalnymi.</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W 2021 roku wpływy z tytułu opłaty za gospodarowanie odpadami komunalnymi nie pokrywają kosztów funkcjonowania systemu gospodarowania odpadami komunalnymi. Powstała różnica pomiędzy dochodami z pobranej opłaty za gospodarowanie odpadami komunalnymi a kosztami funkcjonowania systemu gospodarowania odpadami komunalnymi wynika ze wzrostu ilości odpadów komunalnych. Wpływ na to ma również zmniejszająca się liczba mieszkańców Bytomia, co przekłada się na pomniejszenie miesięcznych wpływów z tytułu opłaty za gospodarowanie odpadami komunalnymi.</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Wobec tego, iż obecne środki na pokrycie kosztów za gospodarowanie odpadami komunalnymi są niewystarczające, chcąc uniknąć podwyższenia stawek opłaty za gospodarowanie odpadami komunalnymi oraz mając na względzie dobro mieszkańców gminy proponuje się podjęcie uchwały o pokryciu części kosztów gospodarowania odpadami komunalnymi z dochodów własnych niepochodzących z pobranej opłaty za gospodarowanie odpadami komunalnymi.</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A1398051-0100-4561-A603-7B0E4430A2C5.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A1398051-0100-4561-A603-7B0E4430A2C5.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LI/694/21 z dnia 23 listopada 2021 r.</dc:title>
  <dc:subject>w sprawie pokrycia części kosztów gospodarowania odpadami komunalnymi z^dochodów własnych niepochodzących z^pobranej opłaty za gospodarowanie odpadami komunalnymi</dc:subject>
  <dc:creator>masocha</dc:creator>
  <cp:lastModifiedBy>masocha</cp:lastModifiedBy>
  <cp:revision>1</cp:revision>
  <dcterms:created xsi:type="dcterms:W3CDTF">2021-11-24T14:56:52Z</dcterms:created>
  <dcterms:modified xsi:type="dcterms:W3CDTF">2021-11-24T14:56:52Z</dcterms:modified>
  <cp:category>Akt prawny</cp:category>
</cp:coreProperties>
</file>