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LI/693/21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23 listopada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przekazania skargi</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231 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Rada Miejska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uznaje się za organ niewłaściwy do rozpatrzenia drugiej części skargi pana K.H. dotyczącej zarzutów pod adresem Powiatowego Inspektora Nadzoru Budowlanego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przekazuje skargę do Wojewódzkiego Inspektoratu Nadzoru Budowlanego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Katowicach do rozpatrzenia według właściwości.</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zobowiązując do przekazania skargi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zawiadomienia skarżącego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jej przekazaniu.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dniu 4 października 2021 roku do Urzędu Miejskiego w Bytomiu wpłynęło pismo od Wojewody Śląskiego KOI.1411.68.2021 przekazujące skargę pana K.H. z dnia 27 września 2021 roku, zawierające zarzuty pod adresem:</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rFonts w:eastAsia="Times New Roman" w:cs="Times New Roman"/>
          <w:szCs w:val="20"/>
        </w:rPr>
      </w:pPr>
      <w:r>
        <w:rPr>
          <w:rFonts w:eastAsia="Times New Roman" w:cs="Times New Roman"/>
          <w:szCs w:val="20"/>
        </w:rPr>
        <w:t>1.</w:t>
      </w:r>
      <w:r>
        <w:rPr>
          <w:rFonts w:eastAsia="Times New Roman" w:cs="Times New Roman"/>
          <w:szCs w:val="20"/>
        </w:rPr>
        <w:t xml:space="preserve"> </w:t>
      </w:r>
      <w:r>
        <w:rPr>
          <w:rFonts w:eastAsia="Times New Roman" w:cs="Times New Roman"/>
          <w:szCs w:val="20"/>
        </w:rPr>
        <w:t>Prezydenta Miasta Bytomia, w związku z brakiem wyznaczenia terminu przyjęcia skarżącego oraz jego matki w sprawie dotyczącej lokalu zastępczego,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rFonts w:eastAsia="Times New Roman" w:cs="Times New Roman"/>
          <w:szCs w:val="20"/>
        </w:rPr>
      </w:pPr>
      <w:r>
        <w:rPr>
          <w:rFonts w:eastAsia="Times New Roman" w:cs="Times New Roman"/>
          <w:szCs w:val="20"/>
        </w:rPr>
        <w:t>2.</w:t>
      </w:r>
      <w:r>
        <w:rPr>
          <w:rFonts w:eastAsia="Times New Roman" w:cs="Times New Roman"/>
          <w:szCs w:val="20"/>
        </w:rPr>
        <w:t xml:space="preserve"> </w:t>
      </w:r>
      <w:r>
        <w:rPr>
          <w:rFonts w:eastAsia="Times New Roman" w:cs="Times New Roman"/>
          <w:szCs w:val="20"/>
        </w:rPr>
        <w:t>Powiatowego Inspektora Nadzoru Budowlanego w Bytomiu, pozostające w związku ze stanowiskiem w sprawie prac budowlanych wykonanych przez sąsiada matki skarżącego.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dniu 18 października 2021 roku podczas posiedzenia Komisja Skarg, Wniosków i Petycji zakwalifikowała pierwszą część przedmiotowego pisma jako skargę na Prezydenta Miasta Bytomia natomiast drugą część skargi jako skargę na Powiatowego Inspektora Nadzoru Budowlanego w Bytomiu. W związku z powyższym zgodnie z art. 229</w:t>
      </w:r>
      <w:r>
        <w:rPr>
          <w:rFonts w:eastAsia="Times New Roman" w:cs="Times New Roman"/>
          <w:szCs w:val="20"/>
        </w:rPr>
        <w:t xml:space="preserve"> </w:t>
      </w:r>
      <w:r>
        <w:rPr>
          <w:rFonts w:eastAsia="Times New Roman" w:cs="Times New Roman"/>
          <w:szCs w:val="20"/>
        </w:rPr>
        <w:t>pkt 2</w:t>
      </w:r>
      <w:r>
        <w:rPr>
          <w:rFonts w:eastAsia="Times New Roman" w:cs="Times New Roman"/>
          <w:szCs w:val="20"/>
        </w:rPr>
        <w:t xml:space="preserve"> </w:t>
      </w:r>
      <w:r>
        <w:rPr>
          <w:rFonts w:eastAsia="Times New Roman" w:cs="Times New Roman"/>
          <w:szCs w:val="20"/>
        </w:rPr>
        <w:t>Kodeksu postępowania administracyjnego (Dz.U.2021. poz. 735, z późn. zm.), jeżeli przepisy szczególne nie określają innych organów właściwych do rozpatrywania skarg, organem właściwym do rozpatrzenia skargi dotyczącej zadań lub działalności organów wykonawczych jednostek samorządu terytorialnego oraz kierowników powiatowych służb, inspekcji, straży i innych jednostek organizacyjnych w sprawach należących do zadań zleconych z zakresu administracji rządowej jest wojewoda lub organ wyższego stopnia. Z kolei art. 231 Kodeksu postępowania administracyjnego zobowiązuje organ, który nie jest właściwy do rozpatrzenia skargi do przekazania skargi organowi właściwemu.</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powyższym Komisja Skarg, Wniosków i Petycji Rady Miejskiej w Bytomiu uznała, iż skarga pana K.H. w części dotyczącej zarzutów pod adresem Powiatowego Inspektora Nadzoru Budowlanego w Bytomiu winna być przekazana do rozpatrzenia przez Wojewódzki Inspektorat Nadzoru Budowlanego w Katowicach, który jest organem właściwym do rozpatrzenia przedmiotowej skargi.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DB910D97-4594-42A5-9449-A7B6A54F8571.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DB910D97-4594-42A5-9449-A7B6A54F8571.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LI/693/21 z dnia 23 listopada 2021 r.</dc:title>
  <dc:subject>w sprawie przekazania skargi</dc:subject>
  <dc:creator>masocha</dc:creator>
  <cp:lastModifiedBy>masocha</cp:lastModifiedBy>
  <cp:revision>1</cp:revision>
  <dcterms:created xsi:type="dcterms:W3CDTF">2021-11-24T14:57:02Z</dcterms:created>
  <dcterms:modified xsi:type="dcterms:W3CDTF">2021-11-24T14:57:02Z</dcterms:modified>
  <cp:category>Akt prawny</cp:category>
</cp:coreProperties>
</file>