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LI/690/21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23 listopada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stanowiska Rady Miejskiej dotyczącego skargi na działalność Prezydenta Miasta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239 Kodeksu postępowania administracyjnego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735,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Uznaje się za bezzasadną skargę na działalność Prezydenta Miasta Bytomia.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Komisja Skarg, Wniosków i Petycji Rady Miejskiej w Bytomiu na posiedzeniu w dniu 15 listopada 2021 r. rozpatrywała skargę złożoną dnia 27 września 2021 r. przez pana K.H. na działalność Prezydenta Miasta Bytomia.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Skarga dotyczyła braku wyznaczenia terminu przyjęcia skarżącego oraz jego matki w sprawie dotyczącej lokalu zastępczego oraz opieszałości i niekompetentnym sposobem załatwiania sprawy przez Prezydenta. Prezydent w odniesieniu do skargi wyjaśnił, iż polecił właściwym wydziałom przygotowanie informacji potrzebnych do rozpatrzenia sprawy. Wyznaczenie terminu spotkania ze stroną przed uzyskaniem tych informacji było niecelowe. Po uzyskaniu niezbędnych informacji doszło do spotkania stron w dniu 18 października 2021 r. na którym poinformowano skarżącego, że po zapoznaniu się z tematyką problemu Prezydent Miasta nie stanowi strony postępowania, a organem właściwym do rozpatrzenia interwencji, zgodnie z kompetencjami, jest Powiatowy Inspektor Nadzoru Budowlanego w Bytomiu. Starosta jest zwierzchnikiem administracji zespolonej w powiecie oraz pełni w stosunku do PINB funkcję pracodawcy w rozumieniu Kodeksu pracy, tj. ma uprawnienia o charakterze osobowym. Natomiast wojewoda, przy pomocy Wojewódzkiego Inspektora Nadzoru Budowlanego, jako organ wyższego stopnia, sprawuje nadzór nad właściwym poziomem merytorycznym prac PINB.</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 zapoznaniu się z dokumentacją skargi oraz wyjaśnieniami Prezydenta, Komisja Skarg, Wniosków i Petycji stwierdza, że skarga pana K.H. na działalność Prezydenta Miasta Bytomia jest bezzasadna.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C059D30C-EC63-4796-918E-A0CC68CDAF7F.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C059D30C-EC63-4796-918E-A0CC68CDAF7F.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LI/690/21 z dnia 23 listopada 2021 r.</dc:title>
  <dc:subject>w sprawie stanowiska Rady Miejskiej dotyczącego skargi na działalność Prezydenta Miasta Bytomia</dc:subject>
  <dc:creator>masocha</dc:creator>
  <cp:lastModifiedBy>masocha</cp:lastModifiedBy>
  <cp:revision>1</cp:revision>
  <dcterms:created xsi:type="dcterms:W3CDTF">2021-11-24T14:57:33Z</dcterms:created>
  <dcterms:modified xsi:type="dcterms:W3CDTF">2021-11-24T14:57:33Z</dcterms:modified>
  <cp:category>Akt prawny</cp:category>
</cp:coreProperties>
</file>